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37D" w:rsidRDefault="0061237D">
      <w:pPr>
        <w:pStyle w:val="BodyText"/>
        <w:rPr>
          <w:rFonts w:ascii="Times New Roman"/>
          <w:sz w:val="10"/>
        </w:rPr>
      </w:pPr>
    </w:p>
    <w:p w:rsidR="0061237D" w:rsidRDefault="006B3BBD">
      <w:pPr>
        <w:pStyle w:val="BodyText"/>
        <w:ind w:left="6640"/>
        <w:rPr>
          <w:rFonts w:ascii="Times New Roman"/>
          <w:sz w:val="20"/>
        </w:rPr>
      </w:pPr>
      <w:r>
        <w:rPr>
          <w:rFonts w:ascii="Times New Roman"/>
          <w:noProof/>
          <w:sz w:val="20"/>
        </w:rPr>
        <w:drawing>
          <wp:inline distT="0" distB="0" distL="0" distR="0">
            <wp:extent cx="2039538" cy="86629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39538" cy="866298"/>
                    </a:xfrm>
                    <a:prstGeom prst="rect">
                      <a:avLst/>
                    </a:prstGeom>
                  </pic:spPr>
                </pic:pic>
              </a:graphicData>
            </a:graphic>
          </wp:inline>
        </w:drawing>
      </w:r>
    </w:p>
    <w:p w:rsidR="0061237D" w:rsidRDefault="0061237D">
      <w:pPr>
        <w:pStyle w:val="BodyText"/>
        <w:spacing w:before="4"/>
        <w:rPr>
          <w:rFonts w:ascii="Times New Roman"/>
          <w:sz w:val="16"/>
        </w:rPr>
      </w:pPr>
    </w:p>
    <w:p w:rsidR="0061237D" w:rsidRDefault="006B3BBD" w:rsidP="006B3BBD">
      <w:pPr>
        <w:spacing w:before="88"/>
        <w:ind w:right="2740"/>
        <w:rPr>
          <w:b/>
          <w:sz w:val="40"/>
        </w:rPr>
      </w:pPr>
      <w:r>
        <w:rPr>
          <w:b/>
          <w:sz w:val="40"/>
        </w:rPr>
        <w:t>Student Transfer Policy 202</w:t>
      </w:r>
      <w:r w:rsidR="00C165E6">
        <w:rPr>
          <w:b/>
          <w:sz w:val="40"/>
        </w:rPr>
        <w:t>3</w:t>
      </w:r>
      <w:r>
        <w:rPr>
          <w:b/>
          <w:sz w:val="40"/>
        </w:rPr>
        <w:t>/2</w:t>
      </w:r>
      <w:r w:rsidR="00C165E6">
        <w:rPr>
          <w:b/>
          <w:sz w:val="40"/>
        </w:rPr>
        <w:t>4</w:t>
      </w:r>
      <w:bookmarkStart w:id="0" w:name="_GoBack"/>
      <w:bookmarkEnd w:id="0"/>
    </w:p>
    <w:p w:rsidR="0061237D" w:rsidRDefault="0061237D">
      <w:pPr>
        <w:pStyle w:val="BodyText"/>
        <w:rPr>
          <w:b/>
          <w:sz w:val="20"/>
        </w:rPr>
      </w:pPr>
    </w:p>
    <w:p w:rsidR="0061237D" w:rsidRDefault="0061237D">
      <w:pPr>
        <w:pStyle w:val="BodyText"/>
        <w:spacing w:before="1"/>
        <w:rPr>
          <w:b/>
          <w:sz w:val="20"/>
        </w:rPr>
      </w:pPr>
    </w:p>
    <w:p w:rsidR="0061237D" w:rsidRDefault="006B3BBD">
      <w:pPr>
        <w:pStyle w:val="Heading1"/>
        <w:numPr>
          <w:ilvl w:val="0"/>
          <w:numId w:val="4"/>
        </w:numPr>
        <w:tabs>
          <w:tab w:val="left" w:pos="821"/>
        </w:tabs>
        <w:spacing w:before="92"/>
        <w:jc w:val="left"/>
      </w:pPr>
      <w:r>
        <w:t>Introduction</w:t>
      </w:r>
    </w:p>
    <w:p w:rsidR="0061237D" w:rsidRDefault="0061237D">
      <w:pPr>
        <w:pStyle w:val="BodyText"/>
        <w:rPr>
          <w:b/>
        </w:rPr>
      </w:pPr>
    </w:p>
    <w:p w:rsidR="0061237D" w:rsidRDefault="006B3BBD">
      <w:pPr>
        <w:pStyle w:val="BodyText"/>
        <w:ind w:left="100" w:right="115"/>
        <w:jc w:val="both"/>
      </w:pPr>
      <w:r>
        <w:t>Consistent with the regulatory framework for higher education in England required under Section 75 of the Higher Education and Research Act 2017 (HERA) Liverpool Hope University is required to publish student transfer arrangements as part of the Office for Students Regulatory Framework 2018.</w:t>
      </w:r>
    </w:p>
    <w:p w:rsidR="0061237D" w:rsidRDefault="0061237D">
      <w:pPr>
        <w:pStyle w:val="BodyText"/>
      </w:pPr>
    </w:p>
    <w:p w:rsidR="0061237D" w:rsidRDefault="006B3BBD">
      <w:pPr>
        <w:pStyle w:val="BodyText"/>
        <w:ind w:left="100" w:right="117"/>
        <w:jc w:val="both"/>
      </w:pPr>
      <w:r>
        <w:t>Liverpool</w:t>
      </w:r>
      <w:r>
        <w:rPr>
          <w:spacing w:val="-10"/>
        </w:rPr>
        <w:t xml:space="preserve"> </w:t>
      </w:r>
      <w:r>
        <w:t>Hope</w:t>
      </w:r>
      <w:r>
        <w:rPr>
          <w:spacing w:val="-10"/>
        </w:rPr>
        <w:t xml:space="preserve"> </w:t>
      </w:r>
      <w:r>
        <w:t>is</w:t>
      </w:r>
      <w:r>
        <w:rPr>
          <w:spacing w:val="-9"/>
        </w:rPr>
        <w:t xml:space="preserve"> </w:t>
      </w:r>
      <w:r>
        <w:t>sensitive</w:t>
      </w:r>
      <w:r>
        <w:rPr>
          <w:spacing w:val="-8"/>
        </w:rPr>
        <w:t xml:space="preserve"> </w:t>
      </w:r>
      <w:r>
        <w:t>to</w:t>
      </w:r>
      <w:r>
        <w:rPr>
          <w:spacing w:val="-7"/>
        </w:rPr>
        <w:t xml:space="preserve"> </w:t>
      </w:r>
      <w:r>
        <w:t>the</w:t>
      </w:r>
      <w:r>
        <w:rPr>
          <w:spacing w:val="-13"/>
        </w:rPr>
        <w:t xml:space="preserve"> </w:t>
      </w:r>
      <w:r>
        <w:t>fact</w:t>
      </w:r>
      <w:r>
        <w:rPr>
          <w:spacing w:val="-10"/>
        </w:rPr>
        <w:t xml:space="preserve"> </w:t>
      </w:r>
      <w:r>
        <w:t>that</w:t>
      </w:r>
      <w:r>
        <w:rPr>
          <w:spacing w:val="-8"/>
        </w:rPr>
        <w:t xml:space="preserve"> </w:t>
      </w:r>
      <w:r>
        <w:t>students’</w:t>
      </w:r>
      <w:r>
        <w:rPr>
          <w:spacing w:val="-10"/>
        </w:rPr>
        <w:t xml:space="preserve"> </w:t>
      </w:r>
      <w:r>
        <w:t>circumstances,</w:t>
      </w:r>
      <w:r>
        <w:rPr>
          <w:spacing w:val="-9"/>
        </w:rPr>
        <w:t xml:space="preserve"> </w:t>
      </w:r>
      <w:r>
        <w:t>aspirations</w:t>
      </w:r>
      <w:r>
        <w:rPr>
          <w:spacing w:val="-11"/>
        </w:rPr>
        <w:t xml:space="preserve"> </w:t>
      </w:r>
      <w:r>
        <w:t>and</w:t>
      </w:r>
      <w:r>
        <w:rPr>
          <w:spacing w:val="-10"/>
        </w:rPr>
        <w:t xml:space="preserve"> </w:t>
      </w:r>
      <w:r>
        <w:t>long</w:t>
      </w:r>
      <w:r>
        <w:rPr>
          <w:spacing w:val="-11"/>
        </w:rPr>
        <w:t>-term</w:t>
      </w:r>
      <w:r>
        <w:t xml:space="preserve"> goals</w:t>
      </w:r>
      <w:r>
        <w:rPr>
          <w:spacing w:val="-5"/>
        </w:rPr>
        <w:t xml:space="preserve"> </w:t>
      </w:r>
      <w:r>
        <w:t>may</w:t>
      </w:r>
      <w:r>
        <w:rPr>
          <w:spacing w:val="-7"/>
        </w:rPr>
        <w:t xml:space="preserve"> </w:t>
      </w:r>
      <w:r>
        <w:t>change</w:t>
      </w:r>
      <w:r>
        <w:rPr>
          <w:spacing w:val="-6"/>
        </w:rPr>
        <w:t xml:space="preserve"> </w:t>
      </w:r>
      <w:r>
        <w:t>over</w:t>
      </w:r>
      <w:r>
        <w:rPr>
          <w:spacing w:val="-5"/>
        </w:rPr>
        <w:t xml:space="preserve"> </w:t>
      </w:r>
      <w:r>
        <w:t>time.</w:t>
      </w:r>
      <w:r>
        <w:rPr>
          <w:spacing w:val="-6"/>
        </w:rPr>
        <w:t xml:space="preserve"> </w:t>
      </w:r>
      <w:r>
        <w:t>As</w:t>
      </w:r>
      <w:r>
        <w:rPr>
          <w:spacing w:val="-4"/>
        </w:rPr>
        <w:t xml:space="preserve"> </w:t>
      </w:r>
      <w:r>
        <w:t>a</w:t>
      </w:r>
      <w:r>
        <w:rPr>
          <w:spacing w:val="-4"/>
        </w:rPr>
        <w:t xml:space="preserve"> </w:t>
      </w:r>
      <w:r>
        <w:t>consequence,</w:t>
      </w:r>
      <w:r>
        <w:rPr>
          <w:spacing w:val="1"/>
        </w:rPr>
        <w:t xml:space="preserve"> </w:t>
      </w:r>
      <w:r>
        <w:t>we</w:t>
      </w:r>
      <w:r>
        <w:rPr>
          <w:spacing w:val="-4"/>
        </w:rPr>
        <w:t xml:space="preserve"> </w:t>
      </w:r>
      <w:r>
        <w:t>acknowledge</w:t>
      </w:r>
      <w:r>
        <w:rPr>
          <w:spacing w:val="-4"/>
        </w:rPr>
        <w:t xml:space="preserve"> </w:t>
      </w:r>
      <w:r>
        <w:t>that</w:t>
      </w:r>
      <w:r>
        <w:rPr>
          <w:spacing w:val="-4"/>
        </w:rPr>
        <w:t xml:space="preserve"> </w:t>
      </w:r>
      <w:r>
        <w:t>students</w:t>
      </w:r>
      <w:r>
        <w:rPr>
          <w:spacing w:val="-4"/>
        </w:rPr>
        <w:t xml:space="preserve"> </w:t>
      </w:r>
      <w:r>
        <w:t>may</w:t>
      </w:r>
      <w:r>
        <w:rPr>
          <w:spacing w:val="-6"/>
        </w:rPr>
        <w:t xml:space="preserve"> </w:t>
      </w:r>
      <w:r>
        <w:t>request to:</w:t>
      </w:r>
    </w:p>
    <w:p w:rsidR="0061237D" w:rsidRDefault="0061237D">
      <w:pPr>
        <w:pStyle w:val="BodyText"/>
        <w:spacing w:before="9"/>
        <w:rPr>
          <w:sz w:val="23"/>
        </w:rPr>
      </w:pPr>
    </w:p>
    <w:p w:rsidR="0061237D" w:rsidRDefault="006B3BBD">
      <w:pPr>
        <w:pStyle w:val="ListParagraph"/>
        <w:numPr>
          <w:ilvl w:val="0"/>
          <w:numId w:val="3"/>
        </w:numPr>
        <w:tabs>
          <w:tab w:val="left" w:pos="1180"/>
          <w:tab w:val="left" w:pos="1181"/>
        </w:tabs>
        <w:rPr>
          <w:sz w:val="24"/>
        </w:rPr>
      </w:pPr>
      <w:r>
        <w:rPr>
          <w:sz w:val="24"/>
        </w:rPr>
        <w:t>transfer from one course to another within the</w:t>
      </w:r>
      <w:r>
        <w:rPr>
          <w:spacing w:val="-9"/>
          <w:sz w:val="24"/>
        </w:rPr>
        <w:t xml:space="preserve"> </w:t>
      </w:r>
      <w:r>
        <w:rPr>
          <w:sz w:val="24"/>
        </w:rPr>
        <w:t>institution;</w:t>
      </w:r>
    </w:p>
    <w:p w:rsidR="0061237D" w:rsidRDefault="006B3BBD">
      <w:pPr>
        <w:pStyle w:val="ListParagraph"/>
        <w:numPr>
          <w:ilvl w:val="0"/>
          <w:numId w:val="3"/>
        </w:numPr>
        <w:tabs>
          <w:tab w:val="left" w:pos="1180"/>
          <w:tab w:val="left" w:pos="1181"/>
        </w:tabs>
        <w:rPr>
          <w:sz w:val="24"/>
        </w:rPr>
      </w:pPr>
      <w:r>
        <w:rPr>
          <w:sz w:val="24"/>
        </w:rPr>
        <w:t>transfer from another provider into a course at Liverpool</w:t>
      </w:r>
      <w:r>
        <w:rPr>
          <w:spacing w:val="-11"/>
          <w:sz w:val="24"/>
        </w:rPr>
        <w:t xml:space="preserve"> </w:t>
      </w:r>
      <w:r>
        <w:rPr>
          <w:sz w:val="24"/>
        </w:rPr>
        <w:t>Hope;</w:t>
      </w:r>
    </w:p>
    <w:p w:rsidR="0061237D" w:rsidRDefault="006B3BBD">
      <w:pPr>
        <w:pStyle w:val="ListParagraph"/>
        <w:numPr>
          <w:ilvl w:val="0"/>
          <w:numId w:val="3"/>
        </w:numPr>
        <w:tabs>
          <w:tab w:val="left" w:pos="1180"/>
          <w:tab w:val="left" w:pos="1181"/>
        </w:tabs>
        <w:spacing w:before="1"/>
        <w:rPr>
          <w:sz w:val="24"/>
        </w:rPr>
      </w:pPr>
      <w:r>
        <w:rPr>
          <w:sz w:val="24"/>
        </w:rPr>
        <w:t>transfer from Liverpool Hope to another</w:t>
      </w:r>
      <w:r>
        <w:rPr>
          <w:spacing w:val="-14"/>
          <w:sz w:val="24"/>
        </w:rPr>
        <w:t xml:space="preserve"> </w:t>
      </w:r>
      <w:r>
        <w:rPr>
          <w:sz w:val="24"/>
        </w:rPr>
        <w:t>provider.</w:t>
      </w:r>
    </w:p>
    <w:p w:rsidR="0061237D" w:rsidRDefault="0061237D">
      <w:pPr>
        <w:pStyle w:val="BodyText"/>
      </w:pPr>
    </w:p>
    <w:p w:rsidR="0061237D" w:rsidRDefault="006B3BBD">
      <w:pPr>
        <w:pStyle w:val="BodyText"/>
        <w:ind w:left="100" w:right="121"/>
        <w:jc w:val="both"/>
      </w:pPr>
      <w:r>
        <w:t>Transfers may result from a request from a student as detailed in a - c above or may be triggered by Liverpool Hope’s Student Protection Plan.</w:t>
      </w:r>
    </w:p>
    <w:p w:rsidR="0061237D" w:rsidRDefault="0061237D">
      <w:pPr>
        <w:pStyle w:val="BodyText"/>
      </w:pPr>
    </w:p>
    <w:p w:rsidR="0061237D" w:rsidRDefault="006B3BBD">
      <w:pPr>
        <w:pStyle w:val="Heading1"/>
        <w:numPr>
          <w:ilvl w:val="0"/>
          <w:numId w:val="4"/>
        </w:numPr>
        <w:tabs>
          <w:tab w:val="left" w:pos="821"/>
        </w:tabs>
        <w:jc w:val="left"/>
      </w:pPr>
      <w:r>
        <w:t>Transfer between courses at the</w:t>
      </w:r>
      <w:r>
        <w:rPr>
          <w:spacing w:val="-6"/>
        </w:rPr>
        <w:t xml:space="preserve"> </w:t>
      </w:r>
      <w:r>
        <w:t>Institution</w:t>
      </w:r>
    </w:p>
    <w:p w:rsidR="0061237D" w:rsidRDefault="0061237D">
      <w:pPr>
        <w:pStyle w:val="BodyText"/>
        <w:rPr>
          <w:b/>
        </w:rPr>
      </w:pPr>
    </w:p>
    <w:p w:rsidR="0061237D" w:rsidRDefault="006B3BBD">
      <w:pPr>
        <w:pStyle w:val="BodyText"/>
        <w:ind w:left="100" w:right="115"/>
        <w:jc w:val="both"/>
      </w:pPr>
      <w:r>
        <w:t>Current students at Liverpool Hope University are required to follow the course change process which begins with a meeting between the student and the Head of Subject [or nominee]. The student is directed to complete a course change form; requests to change course</w:t>
      </w:r>
      <w:r>
        <w:rPr>
          <w:spacing w:val="-7"/>
        </w:rPr>
        <w:t xml:space="preserve"> </w:t>
      </w:r>
      <w:r>
        <w:t>will</w:t>
      </w:r>
      <w:r>
        <w:rPr>
          <w:spacing w:val="-6"/>
        </w:rPr>
        <w:t xml:space="preserve"> </w:t>
      </w:r>
      <w:r>
        <w:t>only</w:t>
      </w:r>
      <w:r>
        <w:rPr>
          <w:spacing w:val="-8"/>
        </w:rPr>
        <w:t xml:space="preserve"> </w:t>
      </w:r>
      <w:r>
        <w:t>be</w:t>
      </w:r>
      <w:r>
        <w:rPr>
          <w:spacing w:val="-6"/>
        </w:rPr>
        <w:t xml:space="preserve"> </w:t>
      </w:r>
      <w:r>
        <w:t>considered</w:t>
      </w:r>
      <w:r>
        <w:rPr>
          <w:spacing w:val="-5"/>
        </w:rPr>
        <w:t xml:space="preserve"> </w:t>
      </w:r>
      <w:r>
        <w:t>during</w:t>
      </w:r>
      <w:r>
        <w:rPr>
          <w:spacing w:val="-8"/>
        </w:rPr>
        <w:t xml:space="preserve"> </w:t>
      </w:r>
      <w:r>
        <w:t>a</w:t>
      </w:r>
      <w:r>
        <w:rPr>
          <w:spacing w:val="-5"/>
        </w:rPr>
        <w:t xml:space="preserve"> </w:t>
      </w:r>
      <w:r>
        <w:t>two</w:t>
      </w:r>
      <w:r>
        <w:rPr>
          <w:spacing w:val="-5"/>
        </w:rPr>
        <w:t>-week</w:t>
      </w:r>
      <w:r>
        <w:rPr>
          <w:spacing w:val="-7"/>
        </w:rPr>
        <w:t xml:space="preserve"> </w:t>
      </w:r>
      <w:r>
        <w:t>window</w:t>
      </w:r>
      <w:r>
        <w:rPr>
          <w:spacing w:val="-9"/>
        </w:rPr>
        <w:t xml:space="preserve"> </w:t>
      </w:r>
      <w:r>
        <w:t>at</w:t>
      </w:r>
      <w:r>
        <w:rPr>
          <w:spacing w:val="-5"/>
        </w:rPr>
        <w:t xml:space="preserve"> </w:t>
      </w:r>
      <w:r>
        <w:t>the</w:t>
      </w:r>
      <w:r>
        <w:rPr>
          <w:spacing w:val="-6"/>
        </w:rPr>
        <w:t xml:space="preserve"> </w:t>
      </w:r>
      <w:r>
        <w:t>start</w:t>
      </w:r>
      <w:r>
        <w:rPr>
          <w:spacing w:val="-8"/>
        </w:rPr>
        <w:t xml:space="preserve"> </w:t>
      </w:r>
      <w:r>
        <w:t>of</w:t>
      </w:r>
      <w:r>
        <w:rPr>
          <w:spacing w:val="-3"/>
        </w:rPr>
        <w:t xml:space="preserve"> </w:t>
      </w:r>
      <w:r>
        <w:t>each</w:t>
      </w:r>
      <w:r>
        <w:rPr>
          <w:spacing w:val="-6"/>
        </w:rPr>
        <w:t xml:space="preserve"> </w:t>
      </w:r>
      <w:r>
        <w:t>academic</w:t>
      </w:r>
      <w:r>
        <w:rPr>
          <w:spacing w:val="-6"/>
        </w:rPr>
        <w:t xml:space="preserve"> </w:t>
      </w:r>
      <w:r>
        <w:t>year. Students who are requesting to change course before the start of their next level of study should do so before the start of the academic year. However, these changes will also be considered during the first two weeks of the academic</w:t>
      </w:r>
      <w:r>
        <w:rPr>
          <w:spacing w:val="-5"/>
        </w:rPr>
        <w:t xml:space="preserve"> </w:t>
      </w:r>
      <w:r>
        <w:t>year.</w:t>
      </w:r>
    </w:p>
    <w:p w:rsidR="0061237D" w:rsidRDefault="0061237D">
      <w:pPr>
        <w:pStyle w:val="BodyText"/>
        <w:spacing w:before="1"/>
      </w:pPr>
    </w:p>
    <w:p w:rsidR="0061237D" w:rsidRDefault="006B3BBD">
      <w:pPr>
        <w:pStyle w:val="BodyText"/>
        <w:ind w:left="100" w:right="113"/>
        <w:jc w:val="both"/>
      </w:pPr>
      <w:r>
        <w:t>Requests to change course will be considered by the appropriate School/Department. This will include careful consideration of the student’s previous qualifications and experiences aligned with the entry requirements of the Subject. Where a place is not available on the course the student will be counselled accordingly by the School/Department. Once the transfer</w:t>
      </w:r>
      <w:r>
        <w:rPr>
          <w:spacing w:val="-6"/>
        </w:rPr>
        <w:t xml:space="preserve"> </w:t>
      </w:r>
      <w:r>
        <w:t>request</w:t>
      </w:r>
      <w:r>
        <w:rPr>
          <w:spacing w:val="-6"/>
        </w:rPr>
        <w:t xml:space="preserve"> </w:t>
      </w:r>
      <w:r>
        <w:t>has</w:t>
      </w:r>
      <w:r>
        <w:rPr>
          <w:spacing w:val="-8"/>
        </w:rPr>
        <w:t xml:space="preserve"> </w:t>
      </w:r>
      <w:r>
        <w:t>been</w:t>
      </w:r>
      <w:r>
        <w:rPr>
          <w:spacing w:val="-6"/>
        </w:rPr>
        <w:t xml:space="preserve"> </w:t>
      </w:r>
      <w:r>
        <w:t>considered</w:t>
      </w:r>
      <w:r>
        <w:rPr>
          <w:spacing w:val="-6"/>
        </w:rPr>
        <w:t xml:space="preserve"> </w:t>
      </w:r>
      <w:r>
        <w:t>Student</w:t>
      </w:r>
      <w:r>
        <w:rPr>
          <w:spacing w:val="-5"/>
        </w:rPr>
        <w:t xml:space="preserve"> </w:t>
      </w:r>
      <w:r>
        <w:t>Administration</w:t>
      </w:r>
      <w:r>
        <w:rPr>
          <w:spacing w:val="-5"/>
        </w:rPr>
        <w:t xml:space="preserve"> </w:t>
      </w:r>
      <w:r>
        <w:t>will</w:t>
      </w:r>
      <w:r>
        <w:rPr>
          <w:spacing w:val="-5"/>
        </w:rPr>
        <w:t xml:space="preserve"> </w:t>
      </w:r>
      <w:r>
        <w:t>be</w:t>
      </w:r>
      <w:r>
        <w:rPr>
          <w:spacing w:val="-5"/>
        </w:rPr>
        <w:t xml:space="preserve"> </w:t>
      </w:r>
      <w:r>
        <w:t>notified,</w:t>
      </w:r>
      <w:r>
        <w:rPr>
          <w:spacing w:val="4"/>
        </w:rPr>
        <w:t xml:space="preserve"> </w:t>
      </w:r>
      <w:r>
        <w:t>in</w:t>
      </w:r>
      <w:r>
        <w:rPr>
          <w:spacing w:val="-6"/>
        </w:rPr>
        <w:t xml:space="preserve"> </w:t>
      </w:r>
      <w:r>
        <w:t>the</w:t>
      </w:r>
      <w:r>
        <w:rPr>
          <w:spacing w:val="-4"/>
        </w:rPr>
        <w:t xml:space="preserve"> </w:t>
      </w:r>
      <w:r>
        <w:t>case</w:t>
      </w:r>
      <w:r>
        <w:rPr>
          <w:spacing w:val="-7"/>
        </w:rPr>
        <w:t xml:space="preserve"> </w:t>
      </w:r>
      <w:r>
        <w:t>of</w:t>
      </w:r>
      <w:r>
        <w:rPr>
          <w:spacing w:val="-4"/>
        </w:rPr>
        <w:t xml:space="preserve"> </w:t>
      </w:r>
      <w:r>
        <w:t>a successful</w:t>
      </w:r>
      <w:r>
        <w:rPr>
          <w:spacing w:val="-20"/>
        </w:rPr>
        <w:t xml:space="preserve"> </w:t>
      </w:r>
      <w:r>
        <w:t>application.</w:t>
      </w:r>
      <w:r>
        <w:rPr>
          <w:spacing w:val="-22"/>
        </w:rPr>
        <w:t xml:space="preserve"> </w:t>
      </w:r>
      <w:r>
        <w:t>The</w:t>
      </w:r>
      <w:r>
        <w:rPr>
          <w:spacing w:val="-18"/>
        </w:rPr>
        <w:t xml:space="preserve"> </w:t>
      </w:r>
      <w:r>
        <w:t>School/Department</w:t>
      </w:r>
      <w:r>
        <w:rPr>
          <w:spacing w:val="-14"/>
        </w:rPr>
        <w:t xml:space="preserve"> </w:t>
      </w:r>
      <w:r>
        <w:t>will</w:t>
      </w:r>
      <w:r>
        <w:rPr>
          <w:spacing w:val="-20"/>
        </w:rPr>
        <w:t xml:space="preserve"> </w:t>
      </w:r>
      <w:r>
        <w:t>notify</w:t>
      </w:r>
      <w:r>
        <w:rPr>
          <w:spacing w:val="-21"/>
        </w:rPr>
        <w:t xml:space="preserve"> </w:t>
      </w:r>
      <w:r>
        <w:t>students</w:t>
      </w:r>
      <w:r>
        <w:rPr>
          <w:spacing w:val="-19"/>
        </w:rPr>
        <w:t xml:space="preserve"> </w:t>
      </w:r>
      <w:r>
        <w:t>whose</w:t>
      </w:r>
      <w:r>
        <w:rPr>
          <w:spacing w:val="-18"/>
        </w:rPr>
        <w:t xml:space="preserve"> </w:t>
      </w:r>
      <w:r>
        <w:t>request</w:t>
      </w:r>
      <w:r>
        <w:rPr>
          <w:spacing w:val="-19"/>
        </w:rPr>
        <w:t xml:space="preserve"> </w:t>
      </w:r>
      <w:r>
        <w:t>is</w:t>
      </w:r>
      <w:r>
        <w:rPr>
          <w:spacing w:val="-19"/>
        </w:rPr>
        <w:t xml:space="preserve"> </w:t>
      </w:r>
      <w:r>
        <w:t>declined, including the reason(s) why the transfer was not possible at that</w:t>
      </w:r>
      <w:r>
        <w:rPr>
          <w:spacing w:val="-19"/>
        </w:rPr>
        <w:t xml:space="preserve"> </w:t>
      </w:r>
      <w:r>
        <w:t>time.</w:t>
      </w:r>
    </w:p>
    <w:p w:rsidR="0061237D" w:rsidRDefault="0061237D">
      <w:pPr>
        <w:pStyle w:val="BodyText"/>
        <w:rPr>
          <w:sz w:val="26"/>
        </w:rPr>
      </w:pPr>
    </w:p>
    <w:p w:rsidR="006B3BBD" w:rsidRDefault="006B3BBD">
      <w:pPr>
        <w:pStyle w:val="BodyText"/>
        <w:rPr>
          <w:sz w:val="22"/>
        </w:rPr>
      </w:pPr>
    </w:p>
    <w:p w:rsidR="0061237D" w:rsidRDefault="006B3BBD">
      <w:pPr>
        <w:pStyle w:val="Heading1"/>
        <w:numPr>
          <w:ilvl w:val="0"/>
          <w:numId w:val="4"/>
        </w:numPr>
        <w:tabs>
          <w:tab w:val="left" w:pos="821"/>
        </w:tabs>
        <w:jc w:val="left"/>
      </w:pPr>
      <w:r>
        <w:t>Transfers for registered Liverpool Hope Students to another HEI</w:t>
      </w:r>
      <w:r>
        <w:rPr>
          <w:spacing w:val="-5"/>
        </w:rPr>
        <w:t xml:space="preserve"> </w:t>
      </w:r>
      <w:r>
        <w:t>provider</w:t>
      </w:r>
    </w:p>
    <w:p w:rsidR="0061237D" w:rsidRDefault="006B3BBD">
      <w:pPr>
        <w:pStyle w:val="ListParagraph"/>
        <w:numPr>
          <w:ilvl w:val="0"/>
          <w:numId w:val="2"/>
        </w:numPr>
        <w:tabs>
          <w:tab w:val="left" w:pos="603"/>
        </w:tabs>
        <w:spacing w:before="116"/>
        <w:ind w:right="114"/>
        <w:jc w:val="both"/>
        <w:rPr>
          <w:sz w:val="24"/>
        </w:rPr>
      </w:pPr>
      <w:r>
        <w:rPr>
          <w:b/>
          <w:sz w:val="24"/>
        </w:rPr>
        <w:t xml:space="preserve">In the event of a request to transfer initiated by the student </w:t>
      </w:r>
      <w:r>
        <w:rPr>
          <w:sz w:val="24"/>
        </w:rPr>
        <w:t>the University requires the</w:t>
      </w:r>
      <w:r>
        <w:rPr>
          <w:spacing w:val="-13"/>
          <w:sz w:val="24"/>
        </w:rPr>
        <w:t xml:space="preserve"> </w:t>
      </w:r>
      <w:r>
        <w:rPr>
          <w:sz w:val="24"/>
        </w:rPr>
        <w:t>student</w:t>
      </w:r>
      <w:r>
        <w:rPr>
          <w:spacing w:val="-16"/>
          <w:sz w:val="24"/>
        </w:rPr>
        <w:t xml:space="preserve"> </w:t>
      </w:r>
      <w:r>
        <w:rPr>
          <w:sz w:val="24"/>
        </w:rPr>
        <w:t>to</w:t>
      </w:r>
      <w:r>
        <w:rPr>
          <w:spacing w:val="-15"/>
          <w:sz w:val="24"/>
        </w:rPr>
        <w:t xml:space="preserve"> </w:t>
      </w:r>
      <w:r>
        <w:rPr>
          <w:sz w:val="24"/>
        </w:rPr>
        <w:t>follow</w:t>
      </w:r>
      <w:r>
        <w:rPr>
          <w:spacing w:val="-16"/>
          <w:sz w:val="24"/>
        </w:rPr>
        <w:t xml:space="preserve"> </w:t>
      </w:r>
      <w:r>
        <w:rPr>
          <w:sz w:val="24"/>
        </w:rPr>
        <w:t>its</w:t>
      </w:r>
      <w:r>
        <w:rPr>
          <w:spacing w:val="-14"/>
          <w:sz w:val="24"/>
        </w:rPr>
        <w:t xml:space="preserve"> </w:t>
      </w:r>
      <w:r>
        <w:rPr>
          <w:sz w:val="24"/>
        </w:rPr>
        <w:t>withdrawal</w:t>
      </w:r>
      <w:r>
        <w:rPr>
          <w:spacing w:val="-13"/>
          <w:sz w:val="24"/>
        </w:rPr>
        <w:t xml:space="preserve"> </w:t>
      </w:r>
      <w:r>
        <w:rPr>
          <w:sz w:val="24"/>
        </w:rPr>
        <w:t>process.</w:t>
      </w:r>
      <w:r>
        <w:rPr>
          <w:spacing w:val="-16"/>
          <w:sz w:val="24"/>
        </w:rPr>
        <w:t xml:space="preserve"> </w:t>
      </w:r>
      <w:r>
        <w:rPr>
          <w:sz w:val="24"/>
        </w:rPr>
        <w:t>The</w:t>
      </w:r>
      <w:r>
        <w:rPr>
          <w:spacing w:val="-13"/>
          <w:sz w:val="24"/>
        </w:rPr>
        <w:t xml:space="preserve"> </w:t>
      </w:r>
      <w:r>
        <w:rPr>
          <w:sz w:val="24"/>
        </w:rPr>
        <w:t>student</w:t>
      </w:r>
      <w:r>
        <w:rPr>
          <w:spacing w:val="-13"/>
          <w:sz w:val="24"/>
        </w:rPr>
        <w:t xml:space="preserve"> </w:t>
      </w:r>
      <w:r>
        <w:rPr>
          <w:sz w:val="24"/>
        </w:rPr>
        <w:t>must</w:t>
      </w:r>
      <w:r>
        <w:rPr>
          <w:spacing w:val="-15"/>
          <w:sz w:val="24"/>
        </w:rPr>
        <w:t xml:space="preserve"> </w:t>
      </w:r>
      <w:r>
        <w:rPr>
          <w:sz w:val="24"/>
        </w:rPr>
        <w:t>enter</w:t>
      </w:r>
      <w:r>
        <w:rPr>
          <w:spacing w:val="-15"/>
          <w:sz w:val="24"/>
        </w:rPr>
        <w:t xml:space="preserve"> </w:t>
      </w:r>
      <w:r>
        <w:rPr>
          <w:sz w:val="24"/>
        </w:rPr>
        <w:t>into</w:t>
      </w:r>
      <w:r>
        <w:rPr>
          <w:spacing w:val="-13"/>
          <w:sz w:val="24"/>
        </w:rPr>
        <w:t xml:space="preserve"> </w:t>
      </w:r>
      <w:r>
        <w:rPr>
          <w:sz w:val="24"/>
        </w:rPr>
        <w:t>discussions</w:t>
      </w:r>
      <w:r>
        <w:rPr>
          <w:spacing w:val="-13"/>
          <w:sz w:val="24"/>
        </w:rPr>
        <w:t xml:space="preserve"> </w:t>
      </w:r>
      <w:r>
        <w:rPr>
          <w:sz w:val="24"/>
        </w:rPr>
        <w:lastRenderedPageBreak/>
        <w:t>with the new provider about the transfer and ensure that the Subject team at Hope are informed of the potential transfer. This enables the Subject to gather appropriate information</w:t>
      </w:r>
      <w:r>
        <w:rPr>
          <w:spacing w:val="-6"/>
          <w:sz w:val="24"/>
        </w:rPr>
        <w:t xml:space="preserve"> </w:t>
      </w:r>
      <w:r>
        <w:rPr>
          <w:sz w:val="24"/>
        </w:rPr>
        <w:t>required</w:t>
      </w:r>
      <w:r>
        <w:rPr>
          <w:spacing w:val="-6"/>
          <w:sz w:val="24"/>
        </w:rPr>
        <w:t xml:space="preserve"> </w:t>
      </w:r>
      <w:r>
        <w:rPr>
          <w:sz w:val="24"/>
        </w:rPr>
        <w:t>by</w:t>
      </w:r>
      <w:r>
        <w:rPr>
          <w:spacing w:val="-7"/>
          <w:sz w:val="24"/>
        </w:rPr>
        <w:t xml:space="preserve"> </w:t>
      </w:r>
      <w:r>
        <w:rPr>
          <w:sz w:val="24"/>
        </w:rPr>
        <w:t>the</w:t>
      </w:r>
      <w:r>
        <w:rPr>
          <w:spacing w:val="-5"/>
          <w:sz w:val="24"/>
        </w:rPr>
        <w:t xml:space="preserve"> </w:t>
      </w:r>
      <w:r>
        <w:rPr>
          <w:sz w:val="24"/>
        </w:rPr>
        <w:t>new</w:t>
      </w:r>
      <w:r>
        <w:rPr>
          <w:spacing w:val="-7"/>
          <w:sz w:val="24"/>
        </w:rPr>
        <w:t xml:space="preserve"> </w:t>
      </w:r>
      <w:r>
        <w:rPr>
          <w:sz w:val="24"/>
        </w:rPr>
        <w:t>provider</w:t>
      </w:r>
      <w:r>
        <w:rPr>
          <w:spacing w:val="-5"/>
          <w:sz w:val="24"/>
        </w:rPr>
        <w:t xml:space="preserve"> </w:t>
      </w:r>
      <w:r>
        <w:rPr>
          <w:sz w:val="24"/>
        </w:rPr>
        <w:t>in</w:t>
      </w:r>
      <w:r>
        <w:rPr>
          <w:spacing w:val="-5"/>
          <w:sz w:val="24"/>
        </w:rPr>
        <w:t xml:space="preserve"> </w:t>
      </w:r>
      <w:r>
        <w:rPr>
          <w:sz w:val="24"/>
        </w:rPr>
        <w:t>respect</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transfer.</w:t>
      </w:r>
      <w:r>
        <w:rPr>
          <w:spacing w:val="-6"/>
          <w:sz w:val="24"/>
        </w:rPr>
        <w:t xml:space="preserve"> </w:t>
      </w:r>
      <w:r>
        <w:rPr>
          <w:sz w:val="24"/>
        </w:rPr>
        <w:t>On</w:t>
      </w:r>
      <w:r>
        <w:rPr>
          <w:spacing w:val="-4"/>
          <w:sz w:val="24"/>
        </w:rPr>
        <w:t xml:space="preserve"> </w:t>
      </w:r>
      <w:r>
        <w:rPr>
          <w:sz w:val="24"/>
        </w:rPr>
        <w:t>completion</w:t>
      </w:r>
      <w:r>
        <w:rPr>
          <w:spacing w:val="-8"/>
          <w:sz w:val="24"/>
        </w:rPr>
        <w:t xml:space="preserve"> </w:t>
      </w:r>
      <w:r>
        <w:rPr>
          <w:sz w:val="24"/>
        </w:rPr>
        <w:t>of</w:t>
      </w:r>
      <w:r>
        <w:rPr>
          <w:spacing w:val="-3"/>
          <w:sz w:val="24"/>
        </w:rPr>
        <w:t xml:space="preserve"> </w:t>
      </w:r>
      <w:r>
        <w:rPr>
          <w:sz w:val="24"/>
        </w:rPr>
        <w:t>the withdrawal</w:t>
      </w:r>
      <w:r>
        <w:rPr>
          <w:spacing w:val="-18"/>
          <w:sz w:val="24"/>
        </w:rPr>
        <w:t xml:space="preserve"> </w:t>
      </w:r>
      <w:r>
        <w:rPr>
          <w:sz w:val="24"/>
        </w:rPr>
        <w:t>paperwork</w:t>
      </w:r>
      <w:r>
        <w:rPr>
          <w:spacing w:val="-18"/>
          <w:sz w:val="24"/>
        </w:rPr>
        <w:t xml:space="preserve"> </w:t>
      </w:r>
      <w:r>
        <w:rPr>
          <w:sz w:val="24"/>
        </w:rPr>
        <w:t>Liverpool</w:t>
      </w:r>
      <w:r>
        <w:rPr>
          <w:spacing w:val="-18"/>
          <w:sz w:val="24"/>
        </w:rPr>
        <w:t xml:space="preserve"> </w:t>
      </w:r>
      <w:r>
        <w:rPr>
          <w:sz w:val="24"/>
        </w:rPr>
        <w:t>Hope</w:t>
      </w:r>
      <w:r>
        <w:rPr>
          <w:spacing w:val="-17"/>
          <w:sz w:val="24"/>
        </w:rPr>
        <w:t xml:space="preserve"> </w:t>
      </w:r>
      <w:r>
        <w:rPr>
          <w:sz w:val="24"/>
        </w:rPr>
        <w:t>University</w:t>
      </w:r>
      <w:r>
        <w:rPr>
          <w:spacing w:val="-17"/>
          <w:sz w:val="24"/>
        </w:rPr>
        <w:t xml:space="preserve"> </w:t>
      </w:r>
      <w:r>
        <w:rPr>
          <w:sz w:val="24"/>
        </w:rPr>
        <w:t>will</w:t>
      </w:r>
      <w:r>
        <w:rPr>
          <w:spacing w:val="-18"/>
          <w:sz w:val="24"/>
        </w:rPr>
        <w:t xml:space="preserve"> </w:t>
      </w:r>
      <w:r>
        <w:rPr>
          <w:sz w:val="24"/>
        </w:rPr>
        <w:t>then,</w:t>
      </w:r>
      <w:r>
        <w:rPr>
          <w:spacing w:val="-19"/>
          <w:sz w:val="24"/>
        </w:rPr>
        <w:t xml:space="preserve"> </w:t>
      </w:r>
      <w:r>
        <w:rPr>
          <w:sz w:val="24"/>
        </w:rPr>
        <w:t>as</w:t>
      </w:r>
      <w:r>
        <w:rPr>
          <w:spacing w:val="-19"/>
          <w:sz w:val="24"/>
        </w:rPr>
        <w:t xml:space="preserve"> </w:t>
      </w:r>
      <w:r>
        <w:rPr>
          <w:sz w:val="24"/>
        </w:rPr>
        <w:t>appropriate</w:t>
      </w:r>
      <w:r>
        <w:rPr>
          <w:spacing w:val="-16"/>
          <w:sz w:val="24"/>
        </w:rPr>
        <w:t xml:space="preserve"> </w:t>
      </w:r>
      <w:r>
        <w:rPr>
          <w:sz w:val="24"/>
        </w:rPr>
        <w:t>to</w:t>
      </w:r>
      <w:r>
        <w:rPr>
          <w:spacing w:val="-19"/>
          <w:sz w:val="24"/>
        </w:rPr>
        <w:t xml:space="preserve"> </w:t>
      </w:r>
      <w:r>
        <w:rPr>
          <w:spacing w:val="2"/>
          <w:sz w:val="24"/>
        </w:rPr>
        <w:t>the</w:t>
      </w:r>
      <w:r>
        <w:rPr>
          <w:spacing w:val="-19"/>
          <w:sz w:val="24"/>
        </w:rPr>
        <w:t xml:space="preserve"> </w:t>
      </w:r>
      <w:r>
        <w:rPr>
          <w:sz w:val="24"/>
        </w:rPr>
        <w:t>student’s level of</w:t>
      </w:r>
      <w:r>
        <w:rPr>
          <w:spacing w:val="1"/>
          <w:sz w:val="24"/>
        </w:rPr>
        <w:t xml:space="preserve"> </w:t>
      </w:r>
      <w:r>
        <w:rPr>
          <w:sz w:val="24"/>
        </w:rPr>
        <w:t>study:</w:t>
      </w:r>
    </w:p>
    <w:p w:rsidR="0061237D" w:rsidRDefault="0061237D">
      <w:pPr>
        <w:pStyle w:val="BodyText"/>
      </w:pPr>
    </w:p>
    <w:p w:rsidR="0061237D" w:rsidRDefault="006B3BBD">
      <w:pPr>
        <w:pStyle w:val="ListParagraph"/>
        <w:numPr>
          <w:ilvl w:val="1"/>
          <w:numId w:val="2"/>
        </w:numPr>
        <w:tabs>
          <w:tab w:val="left" w:pos="1180"/>
          <w:tab w:val="left" w:pos="1181"/>
        </w:tabs>
        <w:jc w:val="left"/>
        <w:rPr>
          <w:sz w:val="24"/>
        </w:rPr>
      </w:pPr>
      <w:r>
        <w:rPr>
          <w:sz w:val="24"/>
        </w:rPr>
        <w:t>produce a final transcript of the student’s academic</w:t>
      </w:r>
      <w:r>
        <w:rPr>
          <w:spacing w:val="-8"/>
          <w:sz w:val="24"/>
        </w:rPr>
        <w:t xml:space="preserve"> </w:t>
      </w:r>
      <w:r>
        <w:rPr>
          <w:sz w:val="24"/>
        </w:rPr>
        <w:t>standing,</w:t>
      </w:r>
    </w:p>
    <w:p w:rsidR="0061237D" w:rsidRDefault="006B3BBD">
      <w:pPr>
        <w:pStyle w:val="ListParagraph"/>
        <w:numPr>
          <w:ilvl w:val="1"/>
          <w:numId w:val="2"/>
        </w:numPr>
        <w:tabs>
          <w:tab w:val="left" w:pos="1180"/>
          <w:tab w:val="left" w:pos="1181"/>
        </w:tabs>
        <w:ind w:right="126" w:hanging="533"/>
        <w:jc w:val="left"/>
        <w:rPr>
          <w:sz w:val="24"/>
        </w:rPr>
      </w:pPr>
      <w:r>
        <w:rPr>
          <w:sz w:val="24"/>
        </w:rPr>
        <w:t>confirm eligibility for an exit award as determined by the University Framework of Qualifications;</w:t>
      </w:r>
    </w:p>
    <w:p w:rsidR="0061237D" w:rsidRDefault="006B3BBD">
      <w:pPr>
        <w:pStyle w:val="ListParagraph"/>
        <w:numPr>
          <w:ilvl w:val="1"/>
          <w:numId w:val="2"/>
        </w:numPr>
        <w:tabs>
          <w:tab w:val="left" w:pos="1181"/>
        </w:tabs>
        <w:ind w:right="117" w:hanging="586"/>
        <w:jc w:val="both"/>
        <w:rPr>
          <w:sz w:val="24"/>
        </w:rPr>
      </w:pPr>
      <w:r>
        <w:rPr>
          <w:sz w:val="24"/>
        </w:rPr>
        <w:t>calculate any fees or charges due for payment by the student to Liverpool Hope University; conversely any refunds due to the student will also be calculated and notified as</w:t>
      </w:r>
      <w:r>
        <w:rPr>
          <w:spacing w:val="-3"/>
          <w:sz w:val="24"/>
        </w:rPr>
        <w:t xml:space="preserve"> </w:t>
      </w:r>
      <w:r>
        <w:rPr>
          <w:sz w:val="24"/>
        </w:rPr>
        <w:t>appropriate;</w:t>
      </w:r>
    </w:p>
    <w:p w:rsidR="0061237D" w:rsidRDefault="0061237D">
      <w:pPr>
        <w:pStyle w:val="BodyText"/>
        <w:spacing w:before="1"/>
      </w:pPr>
    </w:p>
    <w:p w:rsidR="0061237D" w:rsidRDefault="006B3BBD">
      <w:pPr>
        <w:pStyle w:val="ListParagraph"/>
        <w:numPr>
          <w:ilvl w:val="0"/>
          <w:numId w:val="2"/>
        </w:numPr>
        <w:tabs>
          <w:tab w:val="left" w:pos="603"/>
        </w:tabs>
        <w:ind w:right="114"/>
        <w:jc w:val="both"/>
        <w:rPr>
          <w:sz w:val="24"/>
        </w:rPr>
      </w:pPr>
      <w:r>
        <w:rPr>
          <w:b/>
          <w:sz w:val="24"/>
        </w:rPr>
        <w:t>In</w:t>
      </w:r>
      <w:r>
        <w:rPr>
          <w:b/>
          <w:spacing w:val="-6"/>
          <w:sz w:val="24"/>
        </w:rPr>
        <w:t xml:space="preserve"> </w:t>
      </w:r>
      <w:r>
        <w:rPr>
          <w:b/>
          <w:sz w:val="24"/>
        </w:rPr>
        <w:t>the</w:t>
      </w:r>
      <w:r>
        <w:rPr>
          <w:b/>
          <w:spacing w:val="-7"/>
          <w:sz w:val="24"/>
        </w:rPr>
        <w:t xml:space="preserve"> </w:t>
      </w:r>
      <w:r>
        <w:rPr>
          <w:b/>
          <w:sz w:val="24"/>
        </w:rPr>
        <w:t>event</w:t>
      </w:r>
      <w:r>
        <w:rPr>
          <w:b/>
          <w:spacing w:val="-7"/>
          <w:sz w:val="24"/>
        </w:rPr>
        <w:t xml:space="preserve"> </w:t>
      </w:r>
      <w:r>
        <w:rPr>
          <w:b/>
          <w:sz w:val="24"/>
        </w:rPr>
        <w:t>of</w:t>
      </w:r>
      <w:r>
        <w:rPr>
          <w:b/>
          <w:spacing w:val="-7"/>
          <w:sz w:val="24"/>
        </w:rPr>
        <w:t xml:space="preserve"> </w:t>
      </w:r>
      <w:r>
        <w:rPr>
          <w:b/>
          <w:sz w:val="24"/>
        </w:rPr>
        <w:t>a</w:t>
      </w:r>
      <w:r>
        <w:rPr>
          <w:b/>
          <w:spacing w:val="-5"/>
          <w:sz w:val="24"/>
        </w:rPr>
        <w:t xml:space="preserve"> </w:t>
      </w:r>
      <w:r>
        <w:rPr>
          <w:b/>
          <w:sz w:val="24"/>
        </w:rPr>
        <w:t>transfer</w:t>
      </w:r>
      <w:r>
        <w:rPr>
          <w:b/>
          <w:spacing w:val="-5"/>
          <w:sz w:val="24"/>
        </w:rPr>
        <w:t xml:space="preserve"> </w:t>
      </w:r>
      <w:r>
        <w:rPr>
          <w:b/>
          <w:sz w:val="24"/>
        </w:rPr>
        <w:t>initiated</w:t>
      </w:r>
      <w:r>
        <w:rPr>
          <w:b/>
          <w:spacing w:val="-8"/>
          <w:sz w:val="24"/>
        </w:rPr>
        <w:t xml:space="preserve"> </w:t>
      </w:r>
      <w:r>
        <w:rPr>
          <w:b/>
          <w:sz w:val="24"/>
        </w:rPr>
        <w:t>by</w:t>
      </w:r>
      <w:r>
        <w:rPr>
          <w:b/>
          <w:spacing w:val="-12"/>
          <w:sz w:val="24"/>
        </w:rPr>
        <w:t xml:space="preserve"> </w:t>
      </w:r>
      <w:r>
        <w:rPr>
          <w:b/>
          <w:sz w:val="24"/>
        </w:rPr>
        <w:t>the</w:t>
      </w:r>
      <w:r>
        <w:rPr>
          <w:b/>
          <w:spacing w:val="-5"/>
          <w:sz w:val="24"/>
        </w:rPr>
        <w:t xml:space="preserve"> </w:t>
      </w:r>
      <w:r>
        <w:rPr>
          <w:b/>
          <w:sz w:val="24"/>
        </w:rPr>
        <w:t>implementation</w:t>
      </w:r>
      <w:r>
        <w:rPr>
          <w:b/>
          <w:spacing w:val="-6"/>
          <w:sz w:val="24"/>
        </w:rPr>
        <w:t xml:space="preserve"> </w:t>
      </w:r>
      <w:r>
        <w:rPr>
          <w:b/>
          <w:sz w:val="24"/>
        </w:rPr>
        <w:t>of</w:t>
      </w:r>
      <w:r>
        <w:rPr>
          <w:b/>
          <w:spacing w:val="-7"/>
          <w:sz w:val="24"/>
        </w:rPr>
        <w:t xml:space="preserve"> </w:t>
      </w:r>
      <w:r>
        <w:rPr>
          <w:b/>
          <w:sz w:val="24"/>
        </w:rPr>
        <w:t>the</w:t>
      </w:r>
      <w:r>
        <w:rPr>
          <w:b/>
          <w:spacing w:val="-7"/>
          <w:sz w:val="24"/>
        </w:rPr>
        <w:t xml:space="preserve"> </w:t>
      </w:r>
      <w:r>
        <w:rPr>
          <w:b/>
          <w:sz w:val="24"/>
        </w:rPr>
        <w:t>Student</w:t>
      </w:r>
      <w:r>
        <w:rPr>
          <w:b/>
          <w:spacing w:val="-7"/>
          <w:sz w:val="24"/>
        </w:rPr>
        <w:t xml:space="preserve"> </w:t>
      </w:r>
      <w:r>
        <w:rPr>
          <w:b/>
          <w:sz w:val="24"/>
        </w:rPr>
        <w:t xml:space="preserve">Protection Plan </w:t>
      </w:r>
      <w:r>
        <w:rPr>
          <w:sz w:val="24"/>
        </w:rPr>
        <w:t xml:space="preserve">the student will be supported in transferring to another provider. Liverpool Hope does not envisage this event being likely; we are committed to teaching-out provision that is subject to planned future closure. In the unlikely event that a student is required to transfer to another provider Liverpool Hope will ensure that the student is provided with the necessary information as detailed in 3 (a-c) of this Policy. The Liverpool Hope Student Protection Plan details the process to be followed when a course </w:t>
      </w:r>
      <w:r>
        <w:rPr>
          <w:spacing w:val="5"/>
          <w:sz w:val="24"/>
        </w:rPr>
        <w:t xml:space="preserve">is </w:t>
      </w:r>
      <w:r>
        <w:rPr>
          <w:sz w:val="24"/>
        </w:rPr>
        <w:t>closed, including information about entitlement to any refund or</w:t>
      </w:r>
      <w:r>
        <w:rPr>
          <w:spacing w:val="-14"/>
          <w:sz w:val="24"/>
        </w:rPr>
        <w:t xml:space="preserve"> </w:t>
      </w:r>
      <w:r>
        <w:rPr>
          <w:sz w:val="24"/>
        </w:rPr>
        <w:t>compensation.</w:t>
      </w:r>
    </w:p>
    <w:p w:rsidR="0061237D" w:rsidRDefault="0061237D">
      <w:pPr>
        <w:pStyle w:val="BodyText"/>
      </w:pPr>
    </w:p>
    <w:p w:rsidR="0061237D" w:rsidRDefault="006B3BBD">
      <w:pPr>
        <w:pStyle w:val="BodyText"/>
        <w:ind w:left="100" w:right="122"/>
        <w:jc w:val="both"/>
      </w:pPr>
      <w:r>
        <w:t>If</w:t>
      </w:r>
      <w:r>
        <w:rPr>
          <w:spacing w:val="-4"/>
        </w:rPr>
        <w:t xml:space="preserve"> </w:t>
      </w:r>
      <w:r>
        <w:t>disclosed</w:t>
      </w:r>
      <w:r>
        <w:rPr>
          <w:spacing w:val="-5"/>
        </w:rPr>
        <w:t xml:space="preserve"> </w:t>
      </w:r>
      <w:r>
        <w:t>by</w:t>
      </w:r>
      <w:r>
        <w:rPr>
          <w:spacing w:val="-7"/>
        </w:rPr>
        <w:t xml:space="preserve"> </w:t>
      </w:r>
      <w:r>
        <w:t>the</w:t>
      </w:r>
      <w:r>
        <w:rPr>
          <w:spacing w:val="-3"/>
        </w:rPr>
        <w:t xml:space="preserve"> </w:t>
      </w:r>
      <w:r>
        <w:t>student</w:t>
      </w:r>
      <w:r>
        <w:rPr>
          <w:spacing w:val="-4"/>
        </w:rPr>
        <w:t xml:space="preserve"> </w:t>
      </w:r>
      <w:r>
        <w:t>at</w:t>
      </w:r>
      <w:r>
        <w:rPr>
          <w:spacing w:val="-3"/>
        </w:rPr>
        <w:t xml:space="preserve"> </w:t>
      </w:r>
      <w:r>
        <w:t>the</w:t>
      </w:r>
      <w:r>
        <w:rPr>
          <w:spacing w:val="-4"/>
        </w:rPr>
        <w:t xml:space="preserve"> </w:t>
      </w:r>
      <w:r>
        <w:t>time</w:t>
      </w:r>
      <w:r>
        <w:rPr>
          <w:spacing w:val="-3"/>
        </w:rPr>
        <w:t xml:space="preserve"> </w:t>
      </w:r>
      <w:r>
        <w:t>of</w:t>
      </w:r>
      <w:r>
        <w:rPr>
          <w:spacing w:val="-2"/>
        </w:rPr>
        <w:t xml:space="preserve"> </w:t>
      </w:r>
      <w:r>
        <w:t>withdrawal</w:t>
      </w:r>
      <w:r>
        <w:rPr>
          <w:spacing w:val="-4"/>
        </w:rPr>
        <w:t xml:space="preserve"> </w:t>
      </w:r>
      <w:r>
        <w:t>Liverpool</w:t>
      </w:r>
      <w:r>
        <w:rPr>
          <w:spacing w:val="-4"/>
        </w:rPr>
        <w:t xml:space="preserve"> </w:t>
      </w:r>
      <w:r>
        <w:t>Hope</w:t>
      </w:r>
      <w:r>
        <w:rPr>
          <w:spacing w:val="-6"/>
        </w:rPr>
        <w:t xml:space="preserve"> </w:t>
      </w:r>
      <w:r>
        <w:t>University</w:t>
      </w:r>
      <w:r>
        <w:rPr>
          <w:spacing w:val="-4"/>
        </w:rPr>
        <w:t xml:space="preserve"> </w:t>
      </w:r>
      <w:r>
        <w:t>will</w:t>
      </w:r>
      <w:r>
        <w:rPr>
          <w:spacing w:val="-5"/>
        </w:rPr>
        <w:t xml:space="preserve"> </w:t>
      </w:r>
      <w:r>
        <w:t>also</w:t>
      </w:r>
      <w:r>
        <w:rPr>
          <w:spacing w:val="-3"/>
        </w:rPr>
        <w:t xml:space="preserve"> </w:t>
      </w:r>
      <w:r>
        <w:t>notify the Student Loans Company of the</w:t>
      </w:r>
      <w:r>
        <w:rPr>
          <w:spacing w:val="-5"/>
        </w:rPr>
        <w:t xml:space="preserve"> </w:t>
      </w:r>
      <w:r>
        <w:t>transfer.</w:t>
      </w:r>
    </w:p>
    <w:p w:rsidR="0061237D" w:rsidRDefault="0061237D">
      <w:pPr>
        <w:pStyle w:val="BodyText"/>
      </w:pPr>
    </w:p>
    <w:p w:rsidR="0061237D" w:rsidRDefault="006B3BBD">
      <w:pPr>
        <w:pStyle w:val="Heading1"/>
        <w:numPr>
          <w:ilvl w:val="0"/>
          <w:numId w:val="4"/>
        </w:numPr>
        <w:tabs>
          <w:tab w:val="left" w:pos="952"/>
          <w:tab w:val="left" w:pos="953"/>
        </w:tabs>
        <w:ind w:left="952" w:hanging="425"/>
        <w:jc w:val="left"/>
      </w:pPr>
      <w:r>
        <w:t>Transfers to Liverpool Hope University from another HEI</w:t>
      </w:r>
      <w:r>
        <w:rPr>
          <w:spacing w:val="-7"/>
        </w:rPr>
        <w:t xml:space="preserve"> </w:t>
      </w:r>
      <w:r>
        <w:t>provider</w:t>
      </w:r>
    </w:p>
    <w:p w:rsidR="0061237D" w:rsidRDefault="0061237D">
      <w:pPr>
        <w:pStyle w:val="BodyText"/>
        <w:rPr>
          <w:b/>
        </w:rPr>
      </w:pPr>
    </w:p>
    <w:p w:rsidR="0061237D" w:rsidRDefault="006B3BBD">
      <w:pPr>
        <w:pStyle w:val="BodyText"/>
        <w:ind w:left="100" w:right="114"/>
        <w:jc w:val="both"/>
      </w:pPr>
      <w:r>
        <w:rPr>
          <w:b/>
        </w:rPr>
        <w:t xml:space="preserve">In the event of a request to transfer initiated by the student </w:t>
      </w:r>
      <w:r>
        <w:t>Liverpool Hope University will consider a student’s application in line with the student’s academic achievements and experience in relation to the application. The application will be considered in line with Liverpool Hope University’s Policies on Accreditation of Prior Learning and Recruitment and Admissions or, for Postgraduate Research students, the Postgraduate Research Regulations. Students whose application to transfer is accepted after the second week of</w:t>
      </w:r>
      <w:r>
        <w:rPr>
          <w:spacing w:val="-43"/>
        </w:rPr>
        <w:t xml:space="preserve"> </w:t>
      </w:r>
      <w:r>
        <w:t>an academic</w:t>
      </w:r>
      <w:r>
        <w:rPr>
          <w:spacing w:val="-12"/>
        </w:rPr>
        <w:t xml:space="preserve"> </w:t>
      </w:r>
      <w:r>
        <w:t>year</w:t>
      </w:r>
      <w:r>
        <w:rPr>
          <w:spacing w:val="-11"/>
        </w:rPr>
        <w:t xml:space="preserve"> </w:t>
      </w:r>
      <w:r>
        <w:t>will</w:t>
      </w:r>
      <w:r>
        <w:rPr>
          <w:spacing w:val="-12"/>
        </w:rPr>
        <w:t xml:space="preserve"> </w:t>
      </w:r>
      <w:r>
        <w:t>be</w:t>
      </w:r>
      <w:r>
        <w:rPr>
          <w:spacing w:val="-10"/>
        </w:rPr>
        <w:t xml:space="preserve"> </w:t>
      </w:r>
      <w:r>
        <w:t>required</w:t>
      </w:r>
      <w:r>
        <w:rPr>
          <w:spacing w:val="-10"/>
        </w:rPr>
        <w:t xml:space="preserve"> </w:t>
      </w:r>
      <w:r>
        <w:t>to</w:t>
      </w:r>
      <w:r>
        <w:rPr>
          <w:spacing w:val="-9"/>
        </w:rPr>
        <w:t xml:space="preserve"> </w:t>
      </w:r>
      <w:r>
        <w:t>delay</w:t>
      </w:r>
      <w:r>
        <w:rPr>
          <w:spacing w:val="-12"/>
        </w:rPr>
        <w:t xml:space="preserve"> </w:t>
      </w:r>
      <w:r>
        <w:t>their</w:t>
      </w:r>
      <w:r>
        <w:rPr>
          <w:spacing w:val="-13"/>
        </w:rPr>
        <w:t xml:space="preserve"> </w:t>
      </w:r>
      <w:r>
        <w:t>transfer</w:t>
      </w:r>
      <w:r>
        <w:rPr>
          <w:spacing w:val="-11"/>
        </w:rPr>
        <w:t xml:space="preserve"> </w:t>
      </w:r>
      <w:r>
        <w:t>until</w:t>
      </w:r>
      <w:r>
        <w:rPr>
          <w:spacing w:val="-11"/>
        </w:rPr>
        <w:t xml:space="preserve"> </w:t>
      </w:r>
      <w:r>
        <w:t>the</w:t>
      </w:r>
      <w:r>
        <w:rPr>
          <w:spacing w:val="-10"/>
        </w:rPr>
        <w:t xml:space="preserve"> </w:t>
      </w:r>
      <w:r>
        <w:t>start</w:t>
      </w:r>
      <w:r>
        <w:rPr>
          <w:spacing w:val="-11"/>
        </w:rPr>
        <w:t xml:space="preserve"> </w:t>
      </w:r>
      <w:r>
        <w:t>of</w:t>
      </w:r>
      <w:r>
        <w:rPr>
          <w:spacing w:val="-10"/>
        </w:rPr>
        <w:t xml:space="preserve"> </w:t>
      </w:r>
      <w:r>
        <w:t>the</w:t>
      </w:r>
      <w:r>
        <w:rPr>
          <w:spacing w:val="-10"/>
        </w:rPr>
        <w:t xml:space="preserve"> </w:t>
      </w:r>
      <w:r>
        <w:t>next</w:t>
      </w:r>
      <w:r>
        <w:rPr>
          <w:spacing w:val="-11"/>
        </w:rPr>
        <w:t xml:space="preserve"> </w:t>
      </w:r>
      <w:r>
        <w:t>academic</w:t>
      </w:r>
      <w:r>
        <w:rPr>
          <w:spacing w:val="-11"/>
        </w:rPr>
        <w:t xml:space="preserve"> </w:t>
      </w:r>
      <w:r>
        <w:t>year.</w:t>
      </w:r>
    </w:p>
    <w:p w:rsidR="0061237D" w:rsidRDefault="0061237D">
      <w:pPr>
        <w:pStyle w:val="BodyText"/>
        <w:rPr>
          <w:sz w:val="26"/>
        </w:rPr>
      </w:pPr>
    </w:p>
    <w:p w:rsidR="0061237D" w:rsidRDefault="006B3BBD">
      <w:pPr>
        <w:pStyle w:val="Heading1"/>
        <w:numPr>
          <w:ilvl w:val="0"/>
          <w:numId w:val="4"/>
        </w:numPr>
        <w:tabs>
          <w:tab w:val="left" w:pos="1093"/>
          <w:tab w:val="left" w:pos="1094"/>
        </w:tabs>
        <w:spacing w:before="231"/>
        <w:ind w:left="1094" w:hanging="428"/>
        <w:jc w:val="left"/>
      </w:pPr>
      <w:r>
        <w:t>Advice and</w:t>
      </w:r>
      <w:r>
        <w:rPr>
          <w:spacing w:val="-1"/>
        </w:rPr>
        <w:t xml:space="preserve"> </w:t>
      </w:r>
      <w:r>
        <w:t>Support</w:t>
      </w:r>
    </w:p>
    <w:p w:rsidR="0061237D" w:rsidRDefault="0061237D">
      <w:pPr>
        <w:pStyle w:val="BodyText"/>
        <w:rPr>
          <w:b/>
        </w:rPr>
      </w:pPr>
    </w:p>
    <w:p w:rsidR="0061237D" w:rsidRDefault="006B3BBD">
      <w:pPr>
        <w:pStyle w:val="BodyText"/>
        <w:ind w:left="100" w:right="119"/>
        <w:jc w:val="both"/>
      </w:pPr>
      <w:r>
        <w:t>For individual students making requests to transfer internally between courses, externally to another provider or externally from another provider support is available from the academic Subject, from Senior Academic Advisers and from the Gateway support services. Gateway Services include support for students with disabilities, finance queries, international visa queries</w:t>
      </w:r>
      <w:r>
        <w:rPr>
          <w:spacing w:val="-7"/>
        </w:rPr>
        <w:t xml:space="preserve"> </w:t>
      </w:r>
      <w:r>
        <w:t>and</w:t>
      </w:r>
      <w:r>
        <w:rPr>
          <w:spacing w:val="-7"/>
        </w:rPr>
        <w:t xml:space="preserve"> </w:t>
      </w:r>
      <w:r>
        <w:t>many</w:t>
      </w:r>
      <w:r>
        <w:rPr>
          <w:spacing w:val="-9"/>
        </w:rPr>
        <w:t xml:space="preserve"> </w:t>
      </w:r>
      <w:r>
        <w:t>other</w:t>
      </w:r>
      <w:r>
        <w:rPr>
          <w:spacing w:val="-6"/>
        </w:rPr>
        <w:t xml:space="preserve"> </w:t>
      </w:r>
      <w:r>
        <w:t>aspects</w:t>
      </w:r>
      <w:r>
        <w:rPr>
          <w:spacing w:val="-6"/>
        </w:rPr>
        <w:t xml:space="preserve"> </w:t>
      </w:r>
      <w:r>
        <w:t>of</w:t>
      </w:r>
      <w:r>
        <w:rPr>
          <w:spacing w:val="-6"/>
        </w:rPr>
        <w:t xml:space="preserve"> </w:t>
      </w:r>
      <w:r>
        <w:t>student</w:t>
      </w:r>
      <w:r>
        <w:rPr>
          <w:spacing w:val="-8"/>
        </w:rPr>
        <w:t xml:space="preserve"> </w:t>
      </w:r>
      <w:r>
        <w:t>support.</w:t>
      </w:r>
      <w:r>
        <w:rPr>
          <w:spacing w:val="-10"/>
        </w:rPr>
        <w:t xml:space="preserve"> </w:t>
      </w:r>
      <w:r>
        <w:t>The</w:t>
      </w:r>
      <w:r>
        <w:rPr>
          <w:spacing w:val="-8"/>
        </w:rPr>
        <w:t xml:space="preserve"> </w:t>
      </w:r>
      <w:r>
        <w:t>Students</w:t>
      </w:r>
      <w:r>
        <w:rPr>
          <w:spacing w:val="-8"/>
        </w:rPr>
        <w:t xml:space="preserve"> </w:t>
      </w:r>
      <w:r>
        <w:t>Union</w:t>
      </w:r>
      <w:r>
        <w:rPr>
          <w:spacing w:val="-8"/>
        </w:rPr>
        <w:t xml:space="preserve"> </w:t>
      </w:r>
      <w:r>
        <w:t>at</w:t>
      </w:r>
      <w:r>
        <w:rPr>
          <w:spacing w:val="-8"/>
        </w:rPr>
        <w:t xml:space="preserve"> </w:t>
      </w:r>
      <w:r>
        <w:t>Hope</w:t>
      </w:r>
      <w:r>
        <w:rPr>
          <w:spacing w:val="-8"/>
        </w:rPr>
        <w:t xml:space="preserve"> </w:t>
      </w:r>
      <w:r>
        <w:t>is</w:t>
      </w:r>
      <w:r>
        <w:rPr>
          <w:spacing w:val="-9"/>
        </w:rPr>
        <w:t xml:space="preserve"> </w:t>
      </w:r>
      <w:r>
        <w:t>also</w:t>
      </w:r>
      <w:r>
        <w:rPr>
          <w:spacing w:val="-9"/>
        </w:rPr>
        <w:t xml:space="preserve"> </w:t>
      </w:r>
      <w:r>
        <w:t>able to offer support where</w:t>
      </w:r>
      <w:r>
        <w:rPr>
          <w:spacing w:val="-3"/>
        </w:rPr>
        <w:t xml:space="preserve"> </w:t>
      </w:r>
      <w:r>
        <w:t>appropriate.</w:t>
      </w:r>
    </w:p>
    <w:p w:rsidR="0061237D" w:rsidRDefault="0061237D">
      <w:pPr>
        <w:pStyle w:val="BodyText"/>
        <w:spacing w:before="1"/>
      </w:pPr>
    </w:p>
    <w:p w:rsidR="006B3BBD" w:rsidRDefault="006B3BBD" w:rsidP="006B3BBD">
      <w:pPr>
        <w:pStyle w:val="BodyText"/>
        <w:spacing w:before="79"/>
      </w:pPr>
      <w:r>
        <w:t>In the event of transfer into Liverpool Hope the Student Enrolment and Administration team are the first point</w:t>
      </w:r>
      <w:r w:rsidRPr="006B3BBD">
        <w:t xml:space="preserve"> </w:t>
      </w:r>
      <w:r>
        <w:t>of support alongside the points of support detailed above.</w:t>
      </w:r>
    </w:p>
    <w:p w:rsidR="0061237D" w:rsidRDefault="0061237D" w:rsidP="006B3BBD">
      <w:pPr>
        <w:pStyle w:val="BodyText"/>
        <w:ind w:left="100"/>
        <w:sectPr w:rsidR="0061237D" w:rsidSect="006B3BBD">
          <w:pgSz w:w="11920" w:h="16850"/>
          <w:pgMar w:top="1440" w:right="1080" w:bottom="1440" w:left="1080" w:header="720" w:footer="720" w:gutter="0"/>
          <w:cols w:space="720"/>
          <w:docGrid w:linePitch="299"/>
        </w:sectPr>
      </w:pPr>
    </w:p>
    <w:p w:rsidR="0061237D" w:rsidRDefault="006B3BBD" w:rsidP="006B3BBD">
      <w:pPr>
        <w:pStyle w:val="BodyText"/>
        <w:ind w:right="41"/>
      </w:pPr>
      <w:r>
        <w:lastRenderedPageBreak/>
        <w:t>When a transfer is a result of the implementation of the Student Protection Plan, support and advice will be available from the Head of School [or nominee] as detailed in the Plan.</w:t>
      </w:r>
    </w:p>
    <w:p w:rsidR="0061237D" w:rsidRDefault="0061237D">
      <w:pPr>
        <w:pStyle w:val="BodyText"/>
        <w:rPr>
          <w:sz w:val="26"/>
        </w:rPr>
      </w:pPr>
    </w:p>
    <w:p w:rsidR="0061237D" w:rsidRDefault="0061237D">
      <w:pPr>
        <w:pStyle w:val="BodyText"/>
        <w:rPr>
          <w:sz w:val="22"/>
        </w:rPr>
      </w:pPr>
    </w:p>
    <w:p w:rsidR="0061237D" w:rsidRDefault="006B3BBD">
      <w:pPr>
        <w:pStyle w:val="Heading1"/>
        <w:numPr>
          <w:ilvl w:val="0"/>
          <w:numId w:val="4"/>
        </w:numPr>
        <w:tabs>
          <w:tab w:val="left" w:pos="821"/>
        </w:tabs>
        <w:jc w:val="left"/>
      </w:pPr>
      <w:r>
        <w:t>Contacts and Further</w:t>
      </w:r>
      <w:r>
        <w:rPr>
          <w:spacing w:val="-3"/>
        </w:rPr>
        <w:t xml:space="preserve"> </w:t>
      </w:r>
      <w:r>
        <w:t>Information</w:t>
      </w:r>
    </w:p>
    <w:p w:rsidR="0061237D" w:rsidRDefault="0061237D">
      <w:pPr>
        <w:pStyle w:val="BodyText"/>
        <w:rPr>
          <w:b/>
        </w:rPr>
      </w:pPr>
    </w:p>
    <w:p w:rsidR="0061237D" w:rsidRDefault="006B3BBD">
      <w:pPr>
        <w:pStyle w:val="BodyText"/>
        <w:ind w:left="100"/>
      </w:pPr>
      <w:r>
        <w:t>Further information is available as follows:</w:t>
      </w:r>
    </w:p>
    <w:p w:rsidR="0061237D" w:rsidRDefault="0061237D">
      <w:pPr>
        <w:pStyle w:val="BodyText"/>
      </w:pPr>
    </w:p>
    <w:p w:rsidR="0061237D" w:rsidRDefault="006B3BBD">
      <w:pPr>
        <w:pStyle w:val="ListParagraph"/>
        <w:numPr>
          <w:ilvl w:val="0"/>
          <w:numId w:val="1"/>
        </w:numPr>
        <w:tabs>
          <w:tab w:val="left" w:pos="821"/>
        </w:tabs>
        <w:ind w:right="115"/>
        <w:jc w:val="both"/>
        <w:rPr>
          <w:sz w:val="24"/>
        </w:rPr>
      </w:pPr>
      <w:r>
        <w:rPr>
          <w:sz w:val="24"/>
        </w:rPr>
        <w:t>Students wishing to transfer to Liverpool Hope should contact the Student Enrolment and Administration Team</w:t>
      </w:r>
      <w:hyperlink r:id="rId6">
        <w:r>
          <w:rPr>
            <w:color w:val="0000FF"/>
            <w:sz w:val="24"/>
            <w:u w:val="single" w:color="0000FF"/>
          </w:rPr>
          <w:t xml:space="preserve"> admission@hope.ac.uk</w:t>
        </w:r>
      </w:hyperlink>
      <w:r>
        <w:rPr>
          <w:sz w:val="24"/>
        </w:rPr>
        <w:t>; for postgraduate students information about key contacts is available at</w:t>
      </w:r>
      <w:hyperlink r:id="rId7">
        <w:r>
          <w:rPr>
            <w:color w:val="0000FF"/>
            <w:spacing w:val="-2"/>
            <w:sz w:val="24"/>
          </w:rPr>
          <w:t xml:space="preserve"> </w:t>
        </w:r>
        <w:r>
          <w:rPr>
            <w:color w:val="0000FF"/>
            <w:sz w:val="24"/>
            <w:u w:val="single" w:color="0000FF"/>
          </w:rPr>
          <w:t>https://www.hope.ac.uk/postgraduateresearch/</w:t>
        </w:r>
      </w:hyperlink>
      <w:r>
        <w:rPr>
          <w:sz w:val="24"/>
        </w:rPr>
        <w:t>;</w:t>
      </w:r>
    </w:p>
    <w:p w:rsidR="0061237D" w:rsidRDefault="006B3BBD">
      <w:pPr>
        <w:pStyle w:val="ListParagraph"/>
        <w:numPr>
          <w:ilvl w:val="0"/>
          <w:numId w:val="1"/>
        </w:numPr>
        <w:tabs>
          <w:tab w:val="left" w:pos="821"/>
        </w:tabs>
        <w:spacing w:before="1"/>
        <w:ind w:right="116"/>
        <w:jc w:val="both"/>
        <w:rPr>
          <w:sz w:val="24"/>
        </w:rPr>
      </w:pPr>
      <w:r>
        <w:rPr>
          <w:sz w:val="24"/>
        </w:rPr>
        <w:t>For Hope students wishing to transfer internally between courses, or to another provider, advice should be sought from the Head of Subject [or nominee], personal tutor or School Senior Academic</w:t>
      </w:r>
      <w:r>
        <w:rPr>
          <w:spacing w:val="-4"/>
          <w:sz w:val="24"/>
        </w:rPr>
        <w:t xml:space="preserve"> </w:t>
      </w:r>
      <w:r>
        <w:rPr>
          <w:sz w:val="24"/>
        </w:rPr>
        <w:t>Adviser.</w:t>
      </w:r>
    </w:p>
    <w:p w:rsidR="0061237D" w:rsidRDefault="0061237D">
      <w:pPr>
        <w:pStyle w:val="BodyText"/>
        <w:rPr>
          <w:sz w:val="26"/>
        </w:rPr>
      </w:pPr>
    </w:p>
    <w:p w:rsidR="0061237D" w:rsidRDefault="0061237D">
      <w:pPr>
        <w:pStyle w:val="BodyText"/>
        <w:rPr>
          <w:sz w:val="22"/>
        </w:rPr>
      </w:pPr>
    </w:p>
    <w:p w:rsidR="0061237D" w:rsidRDefault="006B3BBD">
      <w:pPr>
        <w:pStyle w:val="Heading1"/>
        <w:numPr>
          <w:ilvl w:val="0"/>
          <w:numId w:val="4"/>
        </w:numPr>
        <w:tabs>
          <w:tab w:val="left" w:pos="821"/>
        </w:tabs>
        <w:jc w:val="left"/>
      </w:pPr>
      <w:r>
        <w:t>Related Polices, Procedures and</w:t>
      </w:r>
      <w:r>
        <w:rPr>
          <w:spacing w:val="-3"/>
        </w:rPr>
        <w:t xml:space="preserve"> </w:t>
      </w:r>
      <w:r>
        <w:t>Links</w:t>
      </w:r>
    </w:p>
    <w:p w:rsidR="0061237D" w:rsidRDefault="0061237D">
      <w:pPr>
        <w:pStyle w:val="BodyText"/>
        <w:rPr>
          <w:b/>
        </w:rPr>
      </w:pPr>
    </w:p>
    <w:p w:rsidR="0061237D" w:rsidRDefault="006B3BBD">
      <w:pPr>
        <w:pStyle w:val="BodyText"/>
        <w:ind w:left="100" w:right="227"/>
      </w:pPr>
      <w:r>
        <w:t xml:space="preserve">Academic Regulations: </w:t>
      </w:r>
      <w:hyperlink r:id="rId8">
        <w:r w:rsidRPr="006B3BBD">
          <w:rPr>
            <w:color w:val="0000FF"/>
            <w:sz w:val="22"/>
            <w:szCs w:val="22"/>
            <w:u w:val="single" w:color="0000FF"/>
          </w:rPr>
          <w:t>https://www.hope.ac.uk/gateway/students/studentadministration/understandingyourdegree/</w:t>
        </w:r>
      </w:hyperlink>
    </w:p>
    <w:p w:rsidR="0061237D" w:rsidRDefault="0061237D">
      <w:pPr>
        <w:pStyle w:val="BodyText"/>
        <w:rPr>
          <w:sz w:val="16"/>
        </w:rPr>
      </w:pPr>
    </w:p>
    <w:p w:rsidR="0061237D" w:rsidRDefault="006B3BBD">
      <w:pPr>
        <w:pStyle w:val="BodyText"/>
        <w:spacing w:before="92"/>
        <w:ind w:left="100" w:right="1441"/>
      </w:pPr>
      <w:r>
        <w:t xml:space="preserve">Accreditation of Prior Learning </w:t>
      </w:r>
      <w:hyperlink r:id="rId9">
        <w:r w:rsidRPr="006B3BBD">
          <w:rPr>
            <w:color w:val="0000FF"/>
            <w:sz w:val="22"/>
            <w:szCs w:val="22"/>
            <w:u w:val="single" w:color="0000FF"/>
          </w:rPr>
          <w:t>https://www.hope.ac.uk/undergraduate/howtoapply/accreditationofpriorlearning/</w:t>
        </w:r>
      </w:hyperlink>
    </w:p>
    <w:p w:rsidR="0061237D" w:rsidRDefault="0061237D">
      <w:pPr>
        <w:pStyle w:val="BodyText"/>
        <w:rPr>
          <w:sz w:val="16"/>
        </w:rPr>
      </w:pPr>
    </w:p>
    <w:p w:rsidR="0061237D" w:rsidRDefault="006B3BBD">
      <w:pPr>
        <w:pStyle w:val="BodyText"/>
        <w:spacing w:before="92"/>
        <w:ind w:left="100" w:right="1281"/>
      </w:pPr>
      <w:r>
        <w:t xml:space="preserve">Admissions Policy: </w:t>
      </w:r>
      <w:hyperlink r:id="rId10">
        <w:r w:rsidRPr="006B3BBD">
          <w:rPr>
            <w:color w:val="0000FF"/>
            <w:sz w:val="22"/>
            <w:szCs w:val="22"/>
            <w:u w:val="single" w:color="0000FF"/>
          </w:rPr>
          <w:t>https://www.hope.ac.uk/undergraduate/howtoapply/admissionspolicyandappeals/</w:t>
        </w:r>
      </w:hyperlink>
    </w:p>
    <w:p w:rsidR="0061237D" w:rsidRDefault="0061237D">
      <w:pPr>
        <w:pStyle w:val="BodyText"/>
        <w:rPr>
          <w:sz w:val="16"/>
        </w:rPr>
      </w:pPr>
    </w:p>
    <w:p w:rsidR="0061237D" w:rsidRDefault="006B3BBD">
      <w:pPr>
        <w:pStyle w:val="BodyText"/>
        <w:spacing w:before="92"/>
        <w:ind w:left="100" w:right="3976"/>
      </w:pPr>
      <w:r>
        <w:t xml:space="preserve">Fees and Charges Regulations: </w:t>
      </w:r>
      <w:hyperlink r:id="rId11">
        <w:r w:rsidRPr="006B3BBD">
          <w:rPr>
            <w:color w:val="0000FF"/>
            <w:sz w:val="22"/>
            <w:szCs w:val="22"/>
            <w:u w:val="single" w:color="0000FF"/>
          </w:rPr>
          <w:t>https://www.hope.ac.uk/undergraduate/feesandfunding/</w:t>
        </w:r>
      </w:hyperlink>
    </w:p>
    <w:p w:rsidR="0061237D" w:rsidRDefault="0061237D">
      <w:pPr>
        <w:pStyle w:val="BodyText"/>
        <w:rPr>
          <w:sz w:val="16"/>
        </w:rPr>
      </w:pPr>
    </w:p>
    <w:p w:rsidR="0061237D" w:rsidRDefault="006B3BBD">
      <w:pPr>
        <w:pStyle w:val="BodyText"/>
        <w:spacing w:before="93"/>
        <w:ind w:left="100" w:right="5377"/>
      </w:pPr>
      <w:r>
        <w:t xml:space="preserve">Gateway Services </w:t>
      </w:r>
      <w:hyperlink r:id="rId12">
        <w:r w:rsidRPr="006B3BBD">
          <w:rPr>
            <w:color w:val="0000FF"/>
            <w:sz w:val="22"/>
            <w:szCs w:val="22"/>
            <w:u w:val="single" w:color="0000FF"/>
          </w:rPr>
          <w:t>https://www.hope.ac.uk/gateway/students/</w:t>
        </w:r>
      </w:hyperlink>
    </w:p>
    <w:p w:rsidR="0061237D" w:rsidRDefault="0061237D">
      <w:pPr>
        <w:pStyle w:val="BodyText"/>
        <w:spacing w:before="11"/>
        <w:rPr>
          <w:sz w:val="15"/>
        </w:rPr>
      </w:pPr>
    </w:p>
    <w:p w:rsidR="0061237D" w:rsidRDefault="006B3BBD">
      <w:pPr>
        <w:pStyle w:val="BodyText"/>
        <w:spacing w:before="92"/>
        <w:ind w:left="100" w:right="2562"/>
      </w:pPr>
      <w:r>
        <w:t xml:space="preserve">Postgraduate Research Regulations </w:t>
      </w:r>
      <w:hyperlink r:id="rId13">
        <w:r w:rsidRPr="006B3BBD">
          <w:rPr>
            <w:color w:val="0000FF"/>
            <w:sz w:val="22"/>
            <w:szCs w:val="22"/>
            <w:u w:val="single" w:color="0000FF"/>
          </w:rPr>
          <w:t>https://www.hope.ac.uk/gateway/research/pgrinformationforstudents/</w:t>
        </w:r>
      </w:hyperlink>
    </w:p>
    <w:p w:rsidR="0061237D" w:rsidRDefault="0061237D">
      <w:pPr>
        <w:pStyle w:val="BodyText"/>
        <w:rPr>
          <w:sz w:val="16"/>
        </w:rPr>
      </w:pPr>
    </w:p>
    <w:p w:rsidR="0061237D" w:rsidRDefault="006B3BBD">
      <w:pPr>
        <w:pStyle w:val="BodyText"/>
        <w:spacing w:before="93"/>
        <w:ind w:left="100" w:right="2695"/>
      </w:pPr>
      <w:r>
        <w:t xml:space="preserve">Student Protection Plan </w:t>
      </w:r>
      <w:hyperlink r:id="rId14">
        <w:r w:rsidRPr="006B3BBD">
          <w:rPr>
            <w:color w:val="0000FF"/>
            <w:sz w:val="22"/>
            <w:szCs w:val="22"/>
            <w:u w:val="single" w:color="0000FF"/>
          </w:rPr>
          <w:t>https://www.hope.ac.uk/undergraduate/howtoapply/studentcontract/</w:t>
        </w:r>
      </w:hyperlink>
    </w:p>
    <w:sectPr w:rsidR="0061237D" w:rsidSect="006B3BBD">
      <w:pgSz w:w="11920" w:h="1685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43206"/>
    <w:multiLevelType w:val="hybridMultilevel"/>
    <w:tmpl w:val="7CA650EA"/>
    <w:lvl w:ilvl="0" w:tplc="7F80B5F0">
      <w:start w:val="1"/>
      <w:numFmt w:val="lowerLetter"/>
      <w:lvlText w:val="%1."/>
      <w:lvlJc w:val="left"/>
      <w:pPr>
        <w:ind w:left="1180" w:hanging="720"/>
        <w:jc w:val="left"/>
      </w:pPr>
      <w:rPr>
        <w:rFonts w:ascii="Arial" w:eastAsia="Arial" w:hAnsi="Arial" w:cs="Arial" w:hint="default"/>
        <w:spacing w:val="-4"/>
        <w:w w:val="99"/>
        <w:sz w:val="24"/>
        <w:szCs w:val="24"/>
        <w:lang w:val="en-GB" w:eastAsia="en-GB" w:bidi="en-GB"/>
      </w:rPr>
    </w:lvl>
    <w:lvl w:ilvl="1" w:tplc="652CAA10">
      <w:numFmt w:val="bullet"/>
      <w:lvlText w:val="•"/>
      <w:lvlJc w:val="left"/>
      <w:pPr>
        <w:ind w:left="2059" w:hanging="720"/>
      </w:pPr>
      <w:rPr>
        <w:rFonts w:hint="default"/>
        <w:lang w:val="en-GB" w:eastAsia="en-GB" w:bidi="en-GB"/>
      </w:rPr>
    </w:lvl>
    <w:lvl w:ilvl="2" w:tplc="C1AA1356">
      <w:numFmt w:val="bullet"/>
      <w:lvlText w:val="•"/>
      <w:lvlJc w:val="left"/>
      <w:pPr>
        <w:ind w:left="2938" w:hanging="720"/>
      </w:pPr>
      <w:rPr>
        <w:rFonts w:hint="default"/>
        <w:lang w:val="en-GB" w:eastAsia="en-GB" w:bidi="en-GB"/>
      </w:rPr>
    </w:lvl>
    <w:lvl w:ilvl="3" w:tplc="1E96CE7E">
      <w:numFmt w:val="bullet"/>
      <w:lvlText w:val="•"/>
      <w:lvlJc w:val="left"/>
      <w:pPr>
        <w:ind w:left="3817" w:hanging="720"/>
      </w:pPr>
      <w:rPr>
        <w:rFonts w:hint="default"/>
        <w:lang w:val="en-GB" w:eastAsia="en-GB" w:bidi="en-GB"/>
      </w:rPr>
    </w:lvl>
    <w:lvl w:ilvl="4" w:tplc="6CA45384">
      <w:numFmt w:val="bullet"/>
      <w:lvlText w:val="•"/>
      <w:lvlJc w:val="left"/>
      <w:pPr>
        <w:ind w:left="4696" w:hanging="720"/>
      </w:pPr>
      <w:rPr>
        <w:rFonts w:hint="default"/>
        <w:lang w:val="en-GB" w:eastAsia="en-GB" w:bidi="en-GB"/>
      </w:rPr>
    </w:lvl>
    <w:lvl w:ilvl="5" w:tplc="83F00856">
      <w:numFmt w:val="bullet"/>
      <w:lvlText w:val="•"/>
      <w:lvlJc w:val="left"/>
      <w:pPr>
        <w:ind w:left="5575" w:hanging="720"/>
      </w:pPr>
      <w:rPr>
        <w:rFonts w:hint="default"/>
        <w:lang w:val="en-GB" w:eastAsia="en-GB" w:bidi="en-GB"/>
      </w:rPr>
    </w:lvl>
    <w:lvl w:ilvl="6" w:tplc="4D982E32">
      <w:numFmt w:val="bullet"/>
      <w:lvlText w:val="•"/>
      <w:lvlJc w:val="left"/>
      <w:pPr>
        <w:ind w:left="6454" w:hanging="720"/>
      </w:pPr>
      <w:rPr>
        <w:rFonts w:hint="default"/>
        <w:lang w:val="en-GB" w:eastAsia="en-GB" w:bidi="en-GB"/>
      </w:rPr>
    </w:lvl>
    <w:lvl w:ilvl="7" w:tplc="91E4798E">
      <w:numFmt w:val="bullet"/>
      <w:lvlText w:val="•"/>
      <w:lvlJc w:val="left"/>
      <w:pPr>
        <w:ind w:left="7333" w:hanging="720"/>
      </w:pPr>
      <w:rPr>
        <w:rFonts w:hint="default"/>
        <w:lang w:val="en-GB" w:eastAsia="en-GB" w:bidi="en-GB"/>
      </w:rPr>
    </w:lvl>
    <w:lvl w:ilvl="8" w:tplc="9E4C51D2">
      <w:numFmt w:val="bullet"/>
      <w:lvlText w:val="•"/>
      <w:lvlJc w:val="left"/>
      <w:pPr>
        <w:ind w:left="8212" w:hanging="720"/>
      </w:pPr>
      <w:rPr>
        <w:rFonts w:hint="default"/>
        <w:lang w:val="en-GB" w:eastAsia="en-GB" w:bidi="en-GB"/>
      </w:rPr>
    </w:lvl>
  </w:abstractNum>
  <w:abstractNum w:abstractNumId="1" w15:restartNumberingAfterBreak="0">
    <w:nsid w:val="260C5457"/>
    <w:multiLevelType w:val="hybridMultilevel"/>
    <w:tmpl w:val="C3BA2E80"/>
    <w:lvl w:ilvl="0" w:tplc="5866C2CE">
      <w:start w:val="1"/>
      <w:numFmt w:val="decimal"/>
      <w:lvlText w:val="%1."/>
      <w:lvlJc w:val="left"/>
      <w:pPr>
        <w:ind w:left="820" w:hanging="360"/>
        <w:jc w:val="right"/>
      </w:pPr>
      <w:rPr>
        <w:rFonts w:ascii="Arial" w:eastAsia="Arial" w:hAnsi="Arial" w:cs="Arial" w:hint="default"/>
        <w:b/>
        <w:bCs/>
        <w:spacing w:val="-1"/>
        <w:w w:val="100"/>
        <w:sz w:val="24"/>
        <w:szCs w:val="24"/>
        <w:lang w:val="en-GB" w:eastAsia="en-GB" w:bidi="en-GB"/>
      </w:rPr>
    </w:lvl>
    <w:lvl w:ilvl="1" w:tplc="D4FC4866">
      <w:numFmt w:val="bullet"/>
      <w:lvlText w:val="•"/>
      <w:lvlJc w:val="left"/>
      <w:pPr>
        <w:ind w:left="1735" w:hanging="360"/>
      </w:pPr>
      <w:rPr>
        <w:rFonts w:hint="default"/>
        <w:lang w:val="en-GB" w:eastAsia="en-GB" w:bidi="en-GB"/>
      </w:rPr>
    </w:lvl>
    <w:lvl w:ilvl="2" w:tplc="F658116C">
      <w:numFmt w:val="bullet"/>
      <w:lvlText w:val="•"/>
      <w:lvlJc w:val="left"/>
      <w:pPr>
        <w:ind w:left="2650" w:hanging="360"/>
      </w:pPr>
      <w:rPr>
        <w:rFonts w:hint="default"/>
        <w:lang w:val="en-GB" w:eastAsia="en-GB" w:bidi="en-GB"/>
      </w:rPr>
    </w:lvl>
    <w:lvl w:ilvl="3" w:tplc="AA0E7112">
      <w:numFmt w:val="bullet"/>
      <w:lvlText w:val="•"/>
      <w:lvlJc w:val="left"/>
      <w:pPr>
        <w:ind w:left="3565" w:hanging="360"/>
      </w:pPr>
      <w:rPr>
        <w:rFonts w:hint="default"/>
        <w:lang w:val="en-GB" w:eastAsia="en-GB" w:bidi="en-GB"/>
      </w:rPr>
    </w:lvl>
    <w:lvl w:ilvl="4" w:tplc="48CE87D8">
      <w:numFmt w:val="bullet"/>
      <w:lvlText w:val="•"/>
      <w:lvlJc w:val="left"/>
      <w:pPr>
        <w:ind w:left="4480" w:hanging="360"/>
      </w:pPr>
      <w:rPr>
        <w:rFonts w:hint="default"/>
        <w:lang w:val="en-GB" w:eastAsia="en-GB" w:bidi="en-GB"/>
      </w:rPr>
    </w:lvl>
    <w:lvl w:ilvl="5" w:tplc="FC3417EA">
      <w:numFmt w:val="bullet"/>
      <w:lvlText w:val="•"/>
      <w:lvlJc w:val="left"/>
      <w:pPr>
        <w:ind w:left="5395" w:hanging="360"/>
      </w:pPr>
      <w:rPr>
        <w:rFonts w:hint="default"/>
        <w:lang w:val="en-GB" w:eastAsia="en-GB" w:bidi="en-GB"/>
      </w:rPr>
    </w:lvl>
    <w:lvl w:ilvl="6" w:tplc="D0FE5F44">
      <w:numFmt w:val="bullet"/>
      <w:lvlText w:val="•"/>
      <w:lvlJc w:val="left"/>
      <w:pPr>
        <w:ind w:left="6310" w:hanging="360"/>
      </w:pPr>
      <w:rPr>
        <w:rFonts w:hint="default"/>
        <w:lang w:val="en-GB" w:eastAsia="en-GB" w:bidi="en-GB"/>
      </w:rPr>
    </w:lvl>
    <w:lvl w:ilvl="7" w:tplc="29E6D828">
      <w:numFmt w:val="bullet"/>
      <w:lvlText w:val="•"/>
      <w:lvlJc w:val="left"/>
      <w:pPr>
        <w:ind w:left="7225" w:hanging="360"/>
      </w:pPr>
      <w:rPr>
        <w:rFonts w:hint="default"/>
        <w:lang w:val="en-GB" w:eastAsia="en-GB" w:bidi="en-GB"/>
      </w:rPr>
    </w:lvl>
    <w:lvl w:ilvl="8" w:tplc="31A4C036">
      <w:numFmt w:val="bullet"/>
      <w:lvlText w:val="•"/>
      <w:lvlJc w:val="left"/>
      <w:pPr>
        <w:ind w:left="8140" w:hanging="360"/>
      </w:pPr>
      <w:rPr>
        <w:rFonts w:hint="default"/>
        <w:lang w:val="en-GB" w:eastAsia="en-GB" w:bidi="en-GB"/>
      </w:rPr>
    </w:lvl>
  </w:abstractNum>
  <w:abstractNum w:abstractNumId="2" w15:restartNumberingAfterBreak="0">
    <w:nsid w:val="77E86429"/>
    <w:multiLevelType w:val="hybridMultilevel"/>
    <w:tmpl w:val="AEE61E50"/>
    <w:lvl w:ilvl="0" w:tplc="356A993E">
      <w:start w:val="1"/>
      <w:numFmt w:val="lowerLetter"/>
      <w:lvlText w:val="%1."/>
      <w:lvlJc w:val="left"/>
      <w:pPr>
        <w:ind w:left="820" w:hanging="360"/>
        <w:jc w:val="left"/>
      </w:pPr>
      <w:rPr>
        <w:rFonts w:ascii="Arial" w:eastAsia="Arial" w:hAnsi="Arial" w:cs="Arial" w:hint="default"/>
        <w:spacing w:val="-4"/>
        <w:w w:val="99"/>
        <w:sz w:val="24"/>
        <w:szCs w:val="24"/>
        <w:lang w:val="en-GB" w:eastAsia="en-GB" w:bidi="en-GB"/>
      </w:rPr>
    </w:lvl>
    <w:lvl w:ilvl="1" w:tplc="4DCE33B2">
      <w:numFmt w:val="bullet"/>
      <w:lvlText w:val="•"/>
      <w:lvlJc w:val="left"/>
      <w:pPr>
        <w:ind w:left="1735" w:hanging="360"/>
      </w:pPr>
      <w:rPr>
        <w:rFonts w:hint="default"/>
        <w:lang w:val="en-GB" w:eastAsia="en-GB" w:bidi="en-GB"/>
      </w:rPr>
    </w:lvl>
    <w:lvl w:ilvl="2" w:tplc="9A2E52E0">
      <w:numFmt w:val="bullet"/>
      <w:lvlText w:val="•"/>
      <w:lvlJc w:val="left"/>
      <w:pPr>
        <w:ind w:left="2650" w:hanging="360"/>
      </w:pPr>
      <w:rPr>
        <w:rFonts w:hint="default"/>
        <w:lang w:val="en-GB" w:eastAsia="en-GB" w:bidi="en-GB"/>
      </w:rPr>
    </w:lvl>
    <w:lvl w:ilvl="3" w:tplc="F4B8E242">
      <w:numFmt w:val="bullet"/>
      <w:lvlText w:val="•"/>
      <w:lvlJc w:val="left"/>
      <w:pPr>
        <w:ind w:left="3565" w:hanging="360"/>
      </w:pPr>
      <w:rPr>
        <w:rFonts w:hint="default"/>
        <w:lang w:val="en-GB" w:eastAsia="en-GB" w:bidi="en-GB"/>
      </w:rPr>
    </w:lvl>
    <w:lvl w:ilvl="4" w:tplc="B310E30E">
      <w:numFmt w:val="bullet"/>
      <w:lvlText w:val="•"/>
      <w:lvlJc w:val="left"/>
      <w:pPr>
        <w:ind w:left="4480" w:hanging="360"/>
      </w:pPr>
      <w:rPr>
        <w:rFonts w:hint="default"/>
        <w:lang w:val="en-GB" w:eastAsia="en-GB" w:bidi="en-GB"/>
      </w:rPr>
    </w:lvl>
    <w:lvl w:ilvl="5" w:tplc="2D2A1D78">
      <w:numFmt w:val="bullet"/>
      <w:lvlText w:val="•"/>
      <w:lvlJc w:val="left"/>
      <w:pPr>
        <w:ind w:left="5395" w:hanging="360"/>
      </w:pPr>
      <w:rPr>
        <w:rFonts w:hint="default"/>
        <w:lang w:val="en-GB" w:eastAsia="en-GB" w:bidi="en-GB"/>
      </w:rPr>
    </w:lvl>
    <w:lvl w:ilvl="6" w:tplc="D83037BA">
      <w:numFmt w:val="bullet"/>
      <w:lvlText w:val="•"/>
      <w:lvlJc w:val="left"/>
      <w:pPr>
        <w:ind w:left="6310" w:hanging="360"/>
      </w:pPr>
      <w:rPr>
        <w:rFonts w:hint="default"/>
        <w:lang w:val="en-GB" w:eastAsia="en-GB" w:bidi="en-GB"/>
      </w:rPr>
    </w:lvl>
    <w:lvl w:ilvl="7" w:tplc="66B81B66">
      <w:numFmt w:val="bullet"/>
      <w:lvlText w:val="•"/>
      <w:lvlJc w:val="left"/>
      <w:pPr>
        <w:ind w:left="7225" w:hanging="360"/>
      </w:pPr>
      <w:rPr>
        <w:rFonts w:hint="default"/>
        <w:lang w:val="en-GB" w:eastAsia="en-GB" w:bidi="en-GB"/>
      </w:rPr>
    </w:lvl>
    <w:lvl w:ilvl="8" w:tplc="84AAD12C">
      <w:numFmt w:val="bullet"/>
      <w:lvlText w:val="•"/>
      <w:lvlJc w:val="left"/>
      <w:pPr>
        <w:ind w:left="8140" w:hanging="360"/>
      </w:pPr>
      <w:rPr>
        <w:rFonts w:hint="default"/>
        <w:lang w:val="en-GB" w:eastAsia="en-GB" w:bidi="en-GB"/>
      </w:rPr>
    </w:lvl>
  </w:abstractNum>
  <w:abstractNum w:abstractNumId="3" w15:restartNumberingAfterBreak="0">
    <w:nsid w:val="7D271766"/>
    <w:multiLevelType w:val="hybridMultilevel"/>
    <w:tmpl w:val="A07062FA"/>
    <w:lvl w:ilvl="0" w:tplc="6CC66302">
      <w:start w:val="1"/>
      <w:numFmt w:val="lowerLetter"/>
      <w:lvlText w:val="%1."/>
      <w:lvlJc w:val="left"/>
      <w:pPr>
        <w:ind w:left="602" w:hanging="360"/>
        <w:jc w:val="left"/>
      </w:pPr>
      <w:rPr>
        <w:rFonts w:ascii="Arial" w:eastAsia="Arial" w:hAnsi="Arial" w:cs="Arial" w:hint="default"/>
        <w:spacing w:val="-27"/>
        <w:w w:val="99"/>
        <w:sz w:val="24"/>
        <w:szCs w:val="24"/>
        <w:lang w:val="en-GB" w:eastAsia="en-GB" w:bidi="en-GB"/>
      </w:rPr>
    </w:lvl>
    <w:lvl w:ilvl="1" w:tplc="E272F144">
      <w:start w:val="1"/>
      <w:numFmt w:val="lowerRoman"/>
      <w:lvlText w:val="%2."/>
      <w:lvlJc w:val="left"/>
      <w:pPr>
        <w:ind w:left="1180" w:hanging="480"/>
        <w:jc w:val="right"/>
      </w:pPr>
      <w:rPr>
        <w:rFonts w:ascii="Arial" w:eastAsia="Arial" w:hAnsi="Arial" w:cs="Arial" w:hint="default"/>
        <w:spacing w:val="-3"/>
        <w:w w:val="100"/>
        <w:sz w:val="24"/>
        <w:szCs w:val="24"/>
        <w:lang w:val="en-GB" w:eastAsia="en-GB" w:bidi="en-GB"/>
      </w:rPr>
    </w:lvl>
    <w:lvl w:ilvl="2" w:tplc="4D3C8300">
      <w:numFmt w:val="bullet"/>
      <w:lvlText w:val="•"/>
      <w:lvlJc w:val="left"/>
      <w:pPr>
        <w:ind w:left="2156" w:hanging="480"/>
      </w:pPr>
      <w:rPr>
        <w:rFonts w:hint="default"/>
        <w:lang w:val="en-GB" w:eastAsia="en-GB" w:bidi="en-GB"/>
      </w:rPr>
    </w:lvl>
    <w:lvl w:ilvl="3" w:tplc="29C26D90">
      <w:numFmt w:val="bullet"/>
      <w:lvlText w:val="•"/>
      <w:lvlJc w:val="left"/>
      <w:pPr>
        <w:ind w:left="3133" w:hanging="480"/>
      </w:pPr>
      <w:rPr>
        <w:rFonts w:hint="default"/>
        <w:lang w:val="en-GB" w:eastAsia="en-GB" w:bidi="en-GB"/>
      </w:rPr>
    </w:lvl>
    <w:lvl w:ilvl="4" w:tplc="AFAAA26E">
      <w:numFmt w:val="bullet"/>
      <w:lvlText w:val="•"/>
      <w:lvlJc w:val="left"/>
      <w:pPr>
        <w:ind w:left="4110" w:hanging="480"/>
      </w:pPr>
      <w:rPr>
        <w:rFonts w:hint="default"/>
        <w:lang w:val="en-GB" w:eastAsia="en-GB" w:bidi="en-GB"/>
      </w:rPr>
    </w:lvl>
    <w:lvl w:ilvl="5" w:tplc="089E01FC">
      <w:numFmt w:val="bullet"/>
      <w:lvlText w:val="•"/>
      <w:lvlJc w:val="left"/>
      <w:pPr>
        <w:ind w:left="5087" w:hanging="480"/>
      </w:pPr>
      <w:rPr>
        <w:rFonts w:hint="default"/>
        <w:lang w:val="en-GB" w:eastAsia="en-GB" w:bidi="en-GB"/>
      </w:rPr>
    </w:lvl>
    <w:lvl w:ilvl="6" w:tplc="7A9C58F8">
      <w:numFmt w:val="bullet"/>
      <w:lvlText w:val="•"/>
      <w:lvlJc w:val="left"/>
      <w:pPr>
        <w:ind w:left="6064" w:hanging="480"/>
      </w:pPr>
      <w:rPr>
        <w:rFonts w:hint="default"/>
        <w:lang w:val="en-GB" w:eastAsia="en-GB" w:bidi="en-GB"/>
      </w:rPr>
    </w:lvl>
    <w:lvl w:ilvl="7" w:tplc="8E780E1E">
      <w:numFmt w:val="bullet"/>
      <w:lvlText w:val="•"/>
      <w:lvlJc w:val="left"/>
      <w:pPr>
        <w:ind w:left="7040" w:hanging="480"/>
      </w:pPr>
      <w:rPr>
        <w:rFonts w:hint="default"/>
        <w:lang w:val="en-GB" w:eastAsia="en-GB" w:bidi="en-GB"/>
      </w:rPr>
    </w:lvl>
    <w:lvl w:ilvl="8" w:tplc="F45CFE78">
      <w:numFmt w:val="bullet"/>
      <w:lvlText w:val="•"/>
      <w:lvlJc w:val="left"/>
      <w:pPr>
        <w:ind w:left="8017" w:hanging="480"/>
      </w:pPr>
      <w:rPr>
        <w:rFonts w:hint="default"/>
        <w:lang w:val="en-GB" w:eastAsia="en-GB" w:bidi="en-GB"/>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37D"/>
    <w:rsid w:val="0061237D"/>
    <w:rsid w:val="006B3BBD"/>
    <w:rsid w:val="00C1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E005"/>
  <w15:docId w15:val="{75F87262-E368-4A60-BD78-6B765E38D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2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hope.ac.uk/gateway/students/studentadministration/understandingyourdegree/" TargetMode="External"/><Relationship Id="rId13" Type="http://schemas.openxmlformats.org/officeDocument/2006/relationships/hyperlink" Target="https://www.hope.ac.uk/gateway/research/pgrinformationforstudents/" TargetMode="External"/><Relationship Id="rId3" Type="http://schemas.openxmlformats.org/officeDocument/2006/relationships/settings" Target="settings.xml"/><Relationship Id="rId7" Type="http://schemas.openxmlformats.org/officeDocument/2006/relationships/hyperlink" Target="https://www.hope.ac.uk/postgraduateresearch/" TargetMode="External"/><Relationship Id="rId12" Type="http://schemas.openxmlformats.org/officeDocument/2006/relationships/hyperlink" Target="https://www.hope.ac.uk/gateway/studen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dmission@hope.ac.uk" TargetMode="External"/><Relationship Id="rId11" Type="http://schemas.openxmlformats.org/officeDocument/2006/relationships/hyperlink" Target="https://www.hope.ac.uk/undergraduate/feesandfundin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www.hope.ac.uk/undergraduate/howtoapply/admissionspolicyandappeals/" TargetMode="External"/><Relationship Id="rId4" Type="http://schemas.openxmlformats.org/officeDocument/2006/relationships/webSettings" Target="webSettings.xml"/><Relationship Id="rId9" Type="http://schemas.openxmlformats.org/officeDocument/2006/relationships/hyperlink" Target="https://www.hope.ac.uk/undergraduate/howtoapply/accreditationofpriorlearning/" TargetMode="External"/><Relationship Id="rId14" Type="http://schemas.openxmlformats.org/officeDocument/2006/relationships/hyperlink" Target="https://www.hope.ac.uk/undergraduate/howtoapply/student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Liverpool Hope</vt:lpstr>
    </vt:vector>
  </TitlesOfParts>
  <Company>Liverpool Hope University</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Liverpool Hope</dc:title>
  <dc:creator>User</dc:creator>
  <cp:lastModifiedBy>Catherine Walsh </cp:lastModifiedBy>
  <cp:revision>2</cp:revision>
  <dcterms:created xsi:type="dcterms:W3CDTF">2023-10-25T15:43:00Z</dcterms:created>
  <dcterms:modified xsi:type="dcterms:W3CDTF">2023-10-25T15:43:00Z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Microsoft® Word 2019</vt:lpwstr>
  </property>
  <property fmtid="{D5CDD505-2E9C-101B-9397-08002B2CF9AE}" pid="4" name="LastSaved">
    <vt:filetime>2022-12-08T00:00:00Z</vt:filetime>
  </property>
</Properties>
</file>